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1325E" w14:textId="77777777" w:rsidR="0021302C" w:rsidRPr="00671E64" w:rsidRDefault="0021302C" w:rsidP="0021302C">
      <w:pPr>
        <w:widowControl/>
        <w:ind w:left="720" w:hanging="720"/>
        <w:jc w:val="both"/>
        <w:outlineLvl w:val="0"/>
        <w:rPr>
          <w:rFonts w:ascii="Arial" w:hAnsi="Arial" w:cs="Arial"/>
        </w:rPr>
      </w:pPr>
      <w:bookmarkStart w:id="0" w:name="_Toc5804835"/>
      <w:bookmarkStart w:id="1" w:name="_Toc5877618"/>
      <w:bookmarkStart w:id="2" w:name="_Toc5879269"/>
      <w:bookmarkStart w:id="3" w:name="_Toc5879482"/>
      <w:bookmarkStart w:id="4" w:name="_Toc5886793"/>
      <w:bookmarkStart w:id="5" w:name="_Toc56076521"/>
      <w:r w:rsidRPr="00671E64">
        <w:rPr>
          <w:rFonts w:ascii="Arial" w:hAnsi="Arial" w:cs="Arial"/>
          <w:b/>
          <w:bCs/>
        </w:rPr>
        <w:t>1.7</w:t>
      </w:r>
      <w:r w:rsidRPr="00671E64">
        <w:rPr>
          <w:rFonts w:ascii="Arial" w:hAnsi="Arial" w:cs="Arial"/>
          <w:b/>
          <w:bCs/>
        </w:rPr>
        <w:tab/>
        <w:t>Practice of Law.</w:t>
      </w:r>
      <w:bookmarkEnd w:id="0"/>
      <w:bookmarkEnd w:id="1"/>
      <w:bookmarkEnd w:id="2"/>
      <w:bookmarkEnd w:id="3"/>
      <w:bookmarkEnd w:id="4"/>
      <w:bookmarkEnd w:id="5"/>
      <w:r>
        <w:rPr>
          <w:rFonts w:ascii="Arial" w:hAnsi="Arial" w:cs="Arial"/>
          <w:b/>
          <w:bCs/>
        </w:rPr>
        <w:br/>
      </w:r>
    </w:p>
    <w:p w14:paraId="6B561F88" w14:textId="77777777" w:rsidR="0021302C" w:rsidRDefault="0021302C" w:rsidP="0021302C">
      <w:pPr>
        <w:widowControl/>
        <w:ind w:left="1440" w:hanging="720"/>
        <w:jc w:val="both"/>
        <w:outlineLvl w:val="1"/>
        <w:rPr>
          <w:rFonts w:ascii="Arial" w:hAnsi="Arial" w:cs="Arial"/>
        </w:rPr>
      </w:pPr>
      <w:bookmarkStart w:id="6" w:name="a_y"/>
      <w:bookmarkStart w:id="7" w:name="_Toc5877619"/>
      <w:bookmarkStart w:id="8" w:name="_Toc5879270"/>
      <w:bookmarkStart w:id="9" w:name="_Toc5879483"/>
      <w:bookmarkStart w:id="10" w:name="_Toc5886794"/>
      <w:bookmarkStart w:id="11" w:name="_Toc56076522"/>
      <w:bookmarkEnd w:id="6"/>
      <w:r w:rsidRPr="00671E64">
        <w:rPr>
          <w:rFonts w:ascii="Arial" w:hAnsi="Arial" w:cs="Arial"/>
          <w:b/>
          <w:bCs/>
        </w:rPr>
        <w:t>(a)</w:t>
      </w:r>
      <w:r w:rsidRPr="00671E64">
        <w:rPr>
          <w:rFonts w:ascii="Arial" w:hAnsi="Arial" w:cs="Arial"/>
          <w:b/>
          <w:bCs/>
        </w:rPr>
        <w:tab/>
        <w:t>Bar of the Court.</w:t>
      </w:r>
      <w:bookmarkEnd w:id="7"/>
      <w:bookmarkEnd w:id="8"/>
      <w:bookmarkEnd w:id="9"/>
      <w:bookmarkEnd w:id="10"/>
      <w:bookmarkEnd w:id="11"/>
      <w:r>
        <w:rPr>
          <w:rFonts w:ascii="Arial" w:hAnsi="Arial" w:cs="Arial"/>
          <w:b/>
          <w:bCs/>
        </w:rPr>
        <w:br/>
      </w:r>
    </w:p>
    <w:p w14:paraId="62048703"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The bar of this court consists of persons admitted to practice before the court. </w:t>
      </w:r>
      <w:r w:rsidRPr="00671E64">
        <w:rPr>
          <w:rFonts w:ascii="Arial" w:hAnsi="Arial" w:cs="Arial"/>
          <w:i/>
          <w:iCs/>
        </w:rPr>
        <w:t>See</w:t>
      </w:r>
      <w:r w:rsidRPr="00671E64">
        <w:rPr>
          <w:rFonts w:ascii="Arial" w:hAnsi="Arial" w:cs="Arial"/>
        </w:rPr>
        <w:t xml:space="preserve"> NEGenR 1.7(d).</w:t>
      </w:r>
      <w:r>
        <w:rPr>
          <w:rFonts w:ascii="Arial" w:hAnsi="Arial" w:cs="Arial"/>
        </w:rPr>
        <w:br/>
      </w:r>
    </w:p>
    <w:p w14:paraId="62BC596D" w14:textId="77777777" w:rsidR="0021302C" w:rsidRDefault="0021302C" w:rsidP="0021302C">
      <w:pPr>
        <w:widowControl/>
        <w:ind w:left="1440" w:hanging="720"/>
        <w:jc w:val="both"/>
        <w:outlineLvl w:val="1"/>
        <w:rPr>
          <w:rFonts w:ascii="Arial" w:hAnsi="Arial" w:cs="Arial"/>
          <w:b/>
          <w:bCs/>
        </w:rPr>
      </w:pPr>
      <w:bookmarkStart w:id="12" w:name="a_z"/>
      <w:bookmarkStart w:id="13" w:name="_Toc5877620"/>
      <w:bookmarkStart w:id="14" w:name="_Toc5879271"/>
      <w:bookmarkStart w:id="15" w:name="_Toc5879484"/>
      <w:bookmarkStart w:id="16" w:name="_Toc5886795"/>
      <w:bookmarkStart w:id="17" w:name="_Toc56076523"/>
      <w:bookmarkEnd w:id="12"/>
      <w:r w:rsidRPr="00671E64">
        <w:rPr>
          <w:rFonts w:ascii="Arial" w:hAnsi="Arial" w:cs="Arial"/>
          <w:b/>
          <w:bCs/>
        </w:rPr>
        <w:t>(b)</w:t>
      </w:r>
      <w:r w:rsidRPr="00671E64">
        <w:rPr>
          <w:rFonts w:ascii="Arial" w:hAnsi="Arial" w:cs="Arial"/>
          <w:b/>
          <w:bCs/>
        </w:rPr>
        <w:tab/>
        <w:t>Ethical Standards.</w:t>
      </w:r>
      <w:bookmarkEnd w:id="13"/>
      <w:bookmarkEnd w:id="14"/>
      <w:bookmarkEnd w:id="15"/>
      <w:bookmarkEnd w:id="16"/>
      <w:bookmarkEnd w:id="17"/>
      <w:r>
        <w:rPr>
          <w:rFonts w:ascii="Arial" w:hAnsi="Arial" w:cs="Arial"/>
          <w:b/>
          <w:bCs/>
        </w:rPr>
        <w:br/>
      </w:r>
    </w:p>
    <w:p w14:paraId="6EBF948B" w14:textId="77777777" w:rsidR="0021302C" w:rsidRPr="00671E64" w:rsidRDefault="0021302C" w:rsidP="0021302C">
      <w:pPr>
        <w:widowControl/>
        <w:ind w:left="2160" w:hanging="720"/>
        <w:jc w:val="both"/>
        <w:rPr>
          <w:rFonts w:ascii="Arial" w:hAnsi="Arial" w:cs="Arial"/>
        </w:rPr>
      </w:pPr>
      <w:r w:rsidRPr="00671E64">
        <w:rPr>
          <w:rFonts w:ascii="Arial" w:hAnsi="Arial" w:cs="Arial"/>
        </w:rPr>
        <w:t>The standards of conduct governing the members of this court</w:t>
      </w:r>
      <w:r>
        <w:rPr>
          <w:rFonts w:ascii="Arial" w:hAnsi="Arial" w:cs="Arial"/>
        </w:rPr>
        <w:t>’</w:t>
      </w:r>
      <w:r w:rsidRPr="00671E64">
        <w:rPr>
          <w:rFonts w:ascii="Arial" w:hAnsi="Arial" w:cs="Arial"/>
        </w:rPr>
        <w:t>s bar follow.</w:t>
      </w:r>
      <w:r>
        <w:rPr>
          <w:rFonts w:ascii="Arial" w:hAnsi="Arial" w:cs="Arial"/>
        </w:rPr>
        <w:br/>
      </w:r>
    </w:p>
    <w:p w14:paraId="46B2928E" w14:textId="77777777" w:rsidR="0021302C" w:rsidRDefault="0021302C" w:rsidP="0021302C">
      <w:pPr>
        <w:widowControl/>
        <w:ind w:left="2160" w:hanging="720"/>
        <w:jc w:val="both"/>
        <w:outlineLvl w:val="2"/>
        <w:rPr>
          <w:rFonts w:ascii="Arial" w:hAnsi="Arial" w:cs="Arial"/>
        </w:rPr>
      </w:pPr>
      <w:bookmarkStart w:id="18" w:name="_Toc5877621"/>
      <w:bookmarkStart w:id="19" w:name="_Toc5879272"/>
      <w:bookmarkStart w:id="20" w:name="_Toc5879485"/>
      <w:bookmarkStart w:id="21" w:name="_Toc5886796"/>
      <w:bookmarkStart w:id="22" w:name="_Toc56076524"/>
      <w:r w:rsidRPr="00671E64">
        <w:rPr>
          <w:rFonts w:ascii="Arial" w:hAnsi="Arial" w:cs="Arial"/>
          <w:b/>
          <w:bCs/>
        </w:rPr>
        <w:t>(1)</w:t>
      </w:r>
      <w:r w:rsidRPr="00671E64">
        <w:rPr>
          <w:rFonts w:ascii="Arial" w:hAnsi="Arial" w:cs="Arial"/>
          <w:b/>
          <w:bCs/>
        </w:rPr>
        <w:tab/>
        <w:t>Rules</w:t>
      </w:r>
      <w:r w:rsidRPr="00671E64">
        <w:rPr>
          <w:rFonts w:ascii="Arial" w:hAnsi="Arial" w:cs="Arial"/>
        </w:rPr>
        <w:t>.</w:t>
      </w:r>
      <w:bookmarkEnd w:id="18"/>
      <w:bookmarkEnd w:id="19"/>
      <w:bookmarkEnd w:id="20"/>
      <w:bookmarkEnd w:id="21"/>
      <w:bookmarkEnd w:id="22"/>
      <w:r>
        <w:rPr>
          <w:rFonts w:ascii="Arial" w:hAnsi="Arial" w:cs="Arial"/>
        </w:rPr>
        <w:br/>
      </w:r>
    </w:p>
    <w:p w14:paraId="4BAD2761" w14:textId="77777777" w:rsidR="0021302C" w:rsidRPr="00671E64" w:rsidRDefault="0021302C" w:rsidP="0021302C">
      <w:pPr>
        <w:widowControl/>
        <w:ind w:left="2160"/>
        <w:jc w:val="both"/>
        <w:rPr>
          <w:rFonts w:ascii="Arial" w:hAnsi="Arial" w:cs="Arial"/>
        </w:rPr>
      </w:pPr>
      <w:r w:rsidRPr="00671E64">
        <w:rPr>
          <w:rFonts w:ascii="Arial" w:hAnsi="Arial" w:cs="Arial"/>
        </w:rPr>
        <w:t>Attorneys must comply with this court</w:t>
      </w:r>
      <w:r>
        <w:rPr>
          <w:rFonts w:ascii="Arial" w:hAnsi="Arial" w:cs="Arial"/>
        </w:rPr>
        <w:t>’</w:t>
      </w:r>
      <w:r w:rsidRPr="00671E64">
        <w:rPr>
          <w:rFonts w:ascii="Arial" w:hAnsi="Arial" w:cs="Arial"/>
        </w:rPr>
        <w:t>s rules.</w:t>
      </w:r>
      <w:r>
        <w:rPr>
          <w:rFonts w:ascii="Arial" w:hAnsi="Arial" w:cs="Arial"/>
        </w:rPr>
        <w:br/>
      </w:r>
    </w:p>
    <w:p w14:paraId="4CCC8D41" w14:textId="77777777" w:rsidR="0021302C" w:rsidRDefault="0021302C" w:rsidP="0021302C">
      <w:pPr>
        <w:widowControl/>
        <w:ind w:left="1440"/>
        <w:jc w:val="both"/>
        <w:outlineLvl w:val="2"/>
        <w:rPr>
          <w:rFonts w:ascii="Arial" w:hAnsi="Arial" w:cs="Arial"/>
        </w:rPr>
      </w:pPr>
      <w:bookmarkStart w:id="23" w:name="_Toc5877622"/>
      <w:bookmarkStart w:id="24" w:name="_Toc5879273"/>
      <w:bookmarkStart w:id="25" w:name="_Toc5879486"/>
      <w:bookmarkStart w:id="26" w:name="_Toc5886797"/>
      <w:bookmarkStart w:id="27" w:name="_Toc56076525"/>
      <w:r w:rsidRPr="00671E64">
        <w:rPr>
          <w:rFonts w:ascii="Arial" w:hAnsi="Arial" w:cs="Arial"/>
          <w:b/>
          <w:bCs/>
        </w:rPr>
        <w:t>(2)</w:t>
      </w:r>
      <w:r w:rsidRPr="00671E64">
        <w:rPr>
          <w:rFonts w:ascii="Arial" w:hAnsi="Arial" w:cs="Arial"/>
          <w:b/>
          <w:bCs/>
        </w:rPr>
        <w:tab/>
        <w:t>Conduct.</w:t>
      </w:r>
      <w:bookmarkEnd w:id="23"/>
      <w:bookmarkEnd w:id="24"/>
      <w:bookmarkEnd w:id="25"/>
      <w:bookmarkEnd w:id="26"/>
      <w:bookmarkEnd w:id="27"/>
      <w:r>
        <w:rPr>
          <w:rFonts w:ascii="Arial" w:hAnsi="Arial" w:cs="Arial"/>
          <w:b/>
          <w:bCs/>
        </w:rPr>
        <w:br/>
      </w:r>
    </w:p>
    <w:p w14:paraId="5E53C85C" w14:textId="77777777" w:rsidR="0021302C" w:rsidRPr="00671E64" w:rsidRDefault="0021302C" w:rsidP="0021302C">
      <w:pPr>
        <w:widowControl/>
        <w:ind w:left="2160"/>
        <w:jc w:val="both"/>
        <w:rPr>
          <w:rFonts w:ascii="Arial" w:hAnsi="Arial" w:cs="Arial"/>
        </w:rPr>
      </w:pPr>
      <w:r w:rsidRPr="00671E64">
        <w:rPr>
          <w:rFonts w:ascii="Arial" w:hAnsi="Arial" w:cs="Arial"/>
        </w:rPr>
        <w:t>Attorneys must refrain from conduct unbecoming of a member of the bar.</w:t>
      </w:r>
      <w:r>
        <w:rPr>
          <w:rFonts w:ascii="Arial" w:hAnsi="Arial" w:cs="Arial"/>
        </w:rPr>
        <w:br/>
      </w:r>
    </w:p>
    <w:p w14:paraId="4F3A51C7"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court declines to adopt other codes of professional responsibility or ethics.</w:t>
      </w:r>
      <w:r>
        <w:rPr>
          <w:rFonts w:ascii="Arial" w:hAnsi="Arial" w:cs="Arial"/>
        </w:rPr>
        <w:br/>
      </w:r>
    </w:p>
    <w:p w14:paraId="0B602FC4"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However, and in addition to any other material, the court may consult other codes of professional responsibility or ethics to determine whether a lawyer has engaged in conduct unbecoming of a member of the bar.</w:t>
      </w:r>
      <w:r>
        <w:rPr>
          <w:rFonts w:ascii="Arial" w:hAnsi="Arial" w:cs="Arial"/>
        </w:rPr>
        <w:br/>
      </w:r>
    </w:p>
    <w:p w14:paraId="041517F9" w14:textId="77777777" w:rsidR="0021302C" w:rsidRPr="00671E64" w:rsidRDefault="0021302C" w:rsidP="0021302C">
      <w:pPr>
        <w:widowControl/>
        <w:ind w:left="1440" w:hanging="720"/>
        <w:jc w:val="both"/>
        <w:outlineLvl w:val="1"/>
        <w:rPr>
          <w:rFonts w:ascii="Arial" w:hAnsi="Arial" w:cs="Arial"/>
        </w:rPr>
      </w:pPr>
      <w:bookmarkStart w:id="28" w:name="_Toc5877623"/>
      <w:bookmarkStart w:id="29" w:name="_Toc5879274"/>
      <w:bookmarkStart w:id="30" w:name="_Toc5879487"/>
      <w:bookmarkStart w:id="31" w:name="_Toc5886798"/>
      <w:bookmarkStart w:id="32" w:name="_Toc56076526"/>
      <w:r w:rsidRPr="00671E64">
        <w:rPr>
          <w:rFonts w:ascii="Arial" w:hAnsi="Arial" w:cs="Arial"/>
          <w:b/>
          <w:bCs/>
        </w:rPr>
        <w:t>(c)</w:t>
      </w:r>
      <w:r w:rsidRPr="00671E64">
        <w:rPr>
          <w:rFonts w:ascii="Arial" w:hAnsi="Arial" w:cs="Arial"/>
          <w:b/>
          <w:bCs/>
        </w:rPr>
        <w:tab/>
        <w:t>Free Press-Fair Trial Provisions</w:t>
      </w:r>
      <w:r>
        <w:rPr>
          <w:rFonts w:ascii="Arial" w:hAnsi="Arial" w:cs="Arial"/>
          <w:b/>
          <w:bCs/>
        </w:rPr>
        <w:t>.</w:t>
      </w:r>
      <w:bookmarkEnd w:id="28"/>
      <w:bookmarkEnd w:id="29"/>
      <w:bookmarkEnd w:id="30"/>
      <w:bookmarkEnd w:id="31"/>
      <w:bookmarkEnd w:id="32"/>
      <w:r>
        <w:rPr>
          <w:rFonts w:ascii="Arial" w:hAnsi="Arial" w:cs="Arial"/>
          <w:b/>
          <w:bCs/>
        </w:rPr>
        <w:br/>
      </w:r>
    </w:p>
    <w:p w14:paraId="38454D8D" w14:textId="77777777" w:rsidR="0021302C" w:rsidRDefault="0021302C" w:rsidP="0021302C">
      <w:pPr>
        <w:widowControl/>
        <w:ind w:left="2160" w:hanging="720"/>
        <w:jc w:val="both"/>
        <w:outlineLvl w:val="2"/>
        <w:rPr>
          <w:rFonts w:ascii="Arial" w:hAnsi="Arial" w:cs="Arial"/>
          <w:b/>
          <w:bCs/>
        </w:rPr>
      </w:pPr>
      <w:bookmarkStart w:id="33" w:name="_Toc5877624"/>
      <w:bookmarkStart w:id="34" w:name="_Toc5879275"/>
      <w:bookmarkStart w:id="35" w:name="_Toc5879488"/>
      <w:bookmarkStart w:id="36" w:name="_Toc5886799"/>
      <w:bookmarkStart w:id="37" w:name="_Toc56076527"/>
      <w:r w:rsidRPr="00671E64">
        <w:rPr>
          <w:rFonts w:ascii="Arial" w:hAnsi="Arial" w:cs="Arial"/>
          <w:b/>
          <w:bCs/>
        </w:rPr>
        <w:t>(1)</w:t>
      </w:r>
      <w:r w:rsidRPr="00671E64">
        <w:rPr>
          <w:rFonts w:ascii="Arial" w:hAnsi="Arial" w:cs="Arial"/>
          <w:b/>
          <w:bCs/>
        </w:rPr>
        <w:tab/>
        <w:t>Inappropriate Statements.</w:t>
      </w:r>
      <w:bookmarkEnd w:id="33"/>
      <w:bookmarkEnd w:id="34"/>
      <w:bookmarkEnd w:id="35"/>
      <w:bookmarkEnd w:id="36"/>
      <w:bookmarkEnd w:id="37"/>
      <w:r>
        <w:rPr>
          <w:rFonts w:ascii="Arial" w:hAnsi="Arial" w:cs="Arial"/>
          <w:b/>
          <w:bCs/>
        </w:rPr>
        <w:br/>
      </w:r>
    </w:p>
    <w:p w14:paraId="55BCE680" w14:textId="77777777" w:rsidR="0021302C" w:rsidRPr="00671E64" w:rsidRDefault="0021302C" w:rsidP="0021302C">
      <w:pPr>
        <w:widowControl/>
        <w:ind w:left="2160"/>
        <w:jc w:val="both"/>
        <w:rPr>
          <w:rFonts w:ascii="Arial" w:hAnsi="Arial" w:cs="Arial"/>
        </w:rPr>
      </w:pPr>
      <w:r w:rsidRPr="00671E64">
        <w:rPr>
          <w:rFonts w:ascii="Arial" w:hAnsi="Arial" w:cs="Arial"/>
        </w:rPr>
        <w:t>A lawyer must not make an extrajudicial statement that the lawyer knows or reasonably should know will have a substantial likelihood of materially prejudicing a judicial proceeding. An extrajudicial statement, other than one permitted by Nebraska General Rule 1.7(c)(2), is likely to have a prejudicial effect when it refers to a civil matter triable to a jury, or a criminal matter or proceeding that could result in incarceration, and the statement relates to:</w:t>
      </w:r>
      <w:r>
        <w:rPr>
          <w:rFonts w:ascii="Arial" w:hAnsi="Arial" w:cs="Arial"/>
        </w:rPr>
        <w:br/>
      </w:r>
    </w:p>
    <w:p w14:paraId="4AE392E4"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character, credibility, reputation, or criminal record of a party, suspect in a criminal investigation, or witness, or the identity of a witness, or the expected testimony of a party or witness;</w:t>
      </w:r>
      <w:r>
        <w:rPr>
          <w:rFonts w:ascii="Arial" w:hAnsi="Arial" w:cs="Arial"/>
        </w:rPr>
        <w:br/>
      </w:r>
    </w:p>
    <w:p w14:paraId="17871F3B"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(B)</w:t>
      </w:r>
      <w:r w:rsidRPr="00671E64">
        <w:rPr>
          <w:rFonts w:ascii="Arial" w:hAnsi="Arial" w:cs="Arial"/>
        </w:rPr>
        <w:tab/>
        <w:t>in a criminal matter that could result in incarceration, the possibility of a plea of guilty, or the existence or contents of any confession, admission, or statement given by a defendant or suspect, or that person's refusal or failure to make a statement;</w:t>
      </w:r>
      <w:r>
        <w:rPr>
          <w:rFonts w:ascii="Arial" w:hAnsi="Arial" w:cs="Arial"/>
        </w:rPr>
        <w:br/>
      </w:r>
    </w:p>
    <w:p w14:paraId="35C5CB36"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the performance or results of any examination or test, or a person</w:t>
      </w:r>
      <w:r w:rsidRPr="00671E64">
        <w:rPr>
          <w:rFonts w:ascii="Arial" w:hAnsi="Arial" w:cs="Arial"/>
        </w:rPr>
        <w:sym w:font="WP TypographicSymbols" w:char="003D"/>
      </w:r>
      <w:r w:rsidRPr="00671E64">
        <w:rPr>
          <w:rFonts w:ascii="Arial" w:hAnsi="Arial" w:cs="Arial"/>
        </w:rPr>
        <w:t>s refusal or failure to submit to an examination or test, or the identity or nature of physical evidence expected to be presented;</w:t>
      </w:r>
      <w:r>
        <w:rPr>
          <w:rFonts w:ascii="Arial" w:hAnsi="Arial" w:cs="Arial"/>
        </w:rPr>
        <w:br/>
      </w:r>
    </w:p>
    <w:p w14:paraId="0011B9FA"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an opinion about the guilt or innocence of a defendant or suspect in a criminal matter that could result in incarceration; or</w:t>
      </w:r>
      <w:r>
        <w:rPr>
          <w:rFonts w:ascii="Arial" w:hAnsi="Arial" w:cs="Arial"/>
        </w:rPr>
        <w:br/>
      </w:r>
    </w:p>
    <w:p w14:paraId="431859C0"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information the lawyer knows or reasonably should know is likely to be inadmissible as evidence in a trial and would if disclosed create a substantial risk of prejudicing an impartial trial.</w:t>
      </w:r>
      <w:r>
        <w:rPr>
          <w:rFonts w:ascii="Arial" w:hAnsi="Arial" w:cs="Arial"/>
        </w:rPr>
        <w:br/>
      </w:r>
    </w:p>
    <w:p w14:paraId="183801DB" w14:textId="77777777" w:rsidR="0021302C" w:rsidRDefault="0021302C" w:rsidP="0021302C">
      <w:pPr>
        <w:widowControl/>
        <w:ind w:left="2160" w:hanging="720"/>
        <w:jc w:val="both"/>
        <w:outlineLvl w:val="2"/>
        <w:rPr>
          <w:rFonts w:ascii="Arial" w:hAnsi="Arial" w:cs="Arial"/>
        </w:rPr>
      </w:pPr>
      <w:bookmarkStart w:id="38" w:name="_Toc5877625"/>
      <w:bookmarkStart w:id="39" w:name="_Toc5879276"/>
      <w:bookmarkStart w:id="40" w:name="_Toc5879489"/>
      <w:bookmarkStart w:id="41" w:name="_Toc5886800"/>
      <w:bookmarkStart w:id="42" w:name="_Toc56076528"/>
      <w:r w:rsidRPr="00671E64">
        <w:rPr>
          <w:rFonts w:ascii="Arial" w:hAnsi="Arial" w:cs="Arial"/>
          <w:b/>
          <w:bCs/>
        </w:rPr>
        <w:t>(2)</w:t>
      </w:r>
      <w:r w:rsidRPr="00671E64">
        <w:rPr>
          <w:rFonts w:ascii="Arial" w:hAnsi="Arial" w:cs="Arial"/>
          <w:b/>
          <w:bCs/>
        </w:rPr>
        <w:tab/>
        <w:t>Appropriate Statements.</w:t>
      </w:r>
      <w:bookmarkEnd w:id="38"/>
      <w:bookmarkEnd w:id="39"/>
      <w:bookmarkEnd w:id="40"/>
      <w:bookmarkEnd w:id="41"/>
      <w:bookmarkEnd w:id="42"/>
      <w:r>
        <w:rPr>
          <w:rFonts w:ascii="Arial" w:hAnsi="Arial" w:cs="Arial"/>
          <w:b/>
          <w:bCs/>
        </w:rPr>
        <w:br/>
      </w:r>
    </w:p>
    <w:p w14:paraId="37ABED46" w14:textId="77777777" w:rsidR="0021302C" w:rsidRPr="00671E64" w:rsidRDefault="0021302C" w:rsidP="0021302C">
      <w:pPr>
        <w:widowControl/>
        <w:ind w:left="2160"/>
        <w:jc w:val="both"/>
        <w:rPr>
          <w:rFonts w:ascii="Arial" w:hAnsi="Arial" w:cs="Arial"/>
        </w:rPr>
      </w:pPr>
      <w:r w:rsidRPr="00671E64">
        <w:rPr>
          <w:rFonts w:ascii="Arial" w:hAnsi="Arial" w:cs="Arial"/>
        </w:rPr>
        <w:t>A lawyer involved in the investigation or litigation of a matter may state without elaboration:</w:t>
      </w:r>
      <w:r>
        <w:rPr>
          <w:rFonts w:ascii="Arial" w:hAnsi="Arial" w:cs="Arial"/>
        </w:rPr>
        <w:br/>
      </w:r>
    </w:p>
    <w:p w14:paraId="59BA718B"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the general nature of the claim or defense;</w:t>
      </w:r>
      <w:r>
        <w:rPr>
          <w:rFonts w:ascii="Arial" w:hAnsi="Arial" w:cs="Arial"/>
        </w:rPr>
        <w:br/>
      </w:r>
    </w:p>
    <w:p w14:paraId="60A2B68A"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information stated in a public record;</w:t>
      </w:r>
      <w:r>
        <w:rPr>
          <w:rFonts w:ascii="Arial" w:hAnsi="Arial" w:cs="Arial"/>
        </w:rPr>
        <w:br/>
      </w:r>
    </w:p>
    <w:p w14:paraId="5D41AC30"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that investigation of the matter is in progress, including the general scope of the investigation, the offense or claim or defense involved, and, unless prohibited by law, the identity of the persons involved;</w:t>
      </w:r>
      <w:r>
        <w:rPr>
          <w:rFonts w:ascii="Arial" w:hAnsi="Arial" w:cs="Arial"/>
        </w:rPr>
        <w:br/>
      </w:r>
    </w:p>
    <w:p w14:paraId="3B77A865"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the scheduling or result of any step in litigation;</w:t>
      </w:r>
      <w:r>
        <w:rPr>
          <w:rFonts w:ascii="Arial" w:hAnsi="Arial" w:cs="Arial"/>
        </w:rPr>
        <w:br/>
      </w:r>
    </w:p>
    <w:p w14:paraId="7884074D"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a request for assistance in obtaining related necessary evidence and information;</w:t>
      </w:r>
      <w:r>
        <w:rPr>
          <w:rFonts w:ascii="Arial" w:hAnsi="Arial" w:cs="Arial"/>
        </w:rPr>
        <w:br/>
      </w:r>
    </w:p>
    <w:p w14:paraId="7C19024A" w14:textId="77777777" w:rsidR="0021302C" w:rsidRPr="00671E64" w:rsidRDefault="0021302C" w:rsidP="0021302C">
      <w:pPr>
        <w:widowControl/>
        <w:ind w:left="2880" w:hanging="720"/>
        <w:jc w:val="both"/>
        <w:rPr>
          <w:rFonts w:ascii="Arial" w:hAnsi="Arial" w:cs="Arial"/>
        </w:rPr>
      </w:pPr>
      <w:r w:rsidRPr="001E4F16">
        <w:rPr>
          <w:rFonts w:ascii="Arial" w:hAnsi="Arial" w:cs="Arial"/>
        </w:rPr>
        <w:t>(F)</w:t>
      </w:r>
      <w:r w:rsidRPr="004B3E75">
        <w:rPr>
          <w:rFonts w:ascii="Arial" w:hAnsi="Arial" w:cs="Arial"/>
          <w:b/>
        </w:rPr>
        <w:tab/>
      </w:r>
      <w:r w:rsidRPr="001E4F16">
        <w:rPr>
          <w:rFonts w:ascii="Arial" w:hAnsi="Arial" w:cs="Arial"/>
        </w:rPr>
        <w:t>a warning of danger concerning the behavior of a person</w:t>
      </w:r>
      <w:r w:rsidRPr="00671E64">
        <w:rPr>
          <w:rFonts w:ascii="Arial" w:hAnsi="Arial" w:cs="Arial"/>
        </w:rPr>
        <w:t xml:space="preserve"> involved, when danger reasonably exists; and</w:t>
      </w:r>
      <w:r>
        <w:rPr>
          <w:rFonts w:ascii="Arial" w:hAnsi="Arial" w:cs="Arial"/>
        </w:rPr>
        <w:br/>
      </w:r>
    </w:p>
    <w:p w14:paraId="6679D1AF" w14:textId="77777777" w:rsidR="0021302C" w:rsidRPr="00671E64" w:rsidRDefault="0021302C" w:rsidP="0021302C">
      <w:pPr>
        <w:widowControl/>
        <w:ind w:left="2880" w:hanging="720"/>
        <w:jc w:val="both"/>
        <w:rPr>
          <w:rFonts w:ascii="Arial" w:hAnsi="Arial" w:cs="Arial"/>
        </w:rPr>
      </w:pPr>
      <w:r w:rsidRPr="001E4F16">
        <w:rPr>
          <w:rFonts w:ascii="Arial" w:hAnsi="Arial" w:cs="Arial"/>
        </w:rPr>
        <w:t>(G)</w:t>
      </w:r>
      <w:r w:rsidRPr="00671E64">
        <w:rPr>
          <w:rFonts w:ascii="Arial" w:hAnsi="Arial" w:cs="Arial"/>
        </w:rPr>
        <w:tab/>
        <w:t>in a criminal case:</w:t>
      </w:r>
      <w:r>
        <w:rPr>
          <w:rFonts w:ascii="Arial" w:hAnsi="Arial" w:cs="Arial"/>
        </w:rPr>
        <w:br/>
      </w:r>
    </w:p>
    <w:p w14:paraId="6A6E09B4" w14:textId="77777777" w:rsidR="0021302C" w:rsidRPr="00671E64" w:rsidRDefault="0021302C" w:rsidP="0021302C">
      <w:pPr>
        <w:widowControl/>
        <w:ind w:left="3600" w:hanging="720"/>
        <w:jc w:val="both"/>
        <w:rPr>
          <w:rFonts w:ascii="Arial" w:hAnsi="Arial" w:cs="Arial"/>
        </w:rPr>
      </w:pPr>
      <w:r w:rsidRPr="008844A1">
        <w:rPr>
          <w:rFonts w:ascii="Arial" w:hAnsi="Arial" w:cs="Arial"/>
        </w:rPr>
        <w:lastRenderedPageBreak/>
        <w:t>(i)</w:t>
      </w:r>
      <w:r w:rsidRPr="00671E64">
        <w:rPr>
          <w:rFonts w:ascii="Arial" w:hAnsi="Arial" w:cs="Arial"/>
        </w:rPr>
        <w:tab/>
        <w:t>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identity, residence, occupation, and family status;</w:t>
      </w:r>
      <w:r>
        <w:rPr>
          <w:rFonts w:ascii="Arial" w:hAnsi="Arial" w:cs="Arial"/>
        </w:rPr>
        <w:br/>
      </w:r>
    </w:p>
    <w:p w14:paraId="1A772425" w14:textId="77777777" w:rsidR="0021302C" w:rsidRPr="00671E64" w:rsidRDefault="0021302C" w:rsidP="0021302C">
      <w:pPr>
        <w:widowControl/>
        <w:ind w:left="3600" w:hanging="720"/>
        <w:jc w:val="both"/>
        <w:rPr>
          <w:rFonts w:ascii="Arial" w:hAnsi="Arial" w:cs="Arial"/>
        </w:rPr>
      </w:pPr>
      <w:r w:rsidRPr="008844A1">
        <w:rPr>
          <w:rFonts w:ascii="Arial" w:hAnsi="Arial" w:cs="Arial"/>
        </w:rPr>
        <w:t>(ii)</w:t>
      </w:r>
      <w:r w:rsidRPr="00671E64">
        <w:rPr>
          <w:rFonts w:ascii="Arial" w:hAnsi="Arial" w:cs="Arial"/>
        </w:rPr>
        <w:tab/>
        <w:t>information necessary to aid in a defendant</w:t>
      </w:r>
      <w:r w:rsidRPr="00671E64">
        <w:rPr>
          <w:rFonts w:ascii="Arial" w:hAnsi="Arial" w:cs="Arial"/>
        </w:rPr>
        <w:sym w:font="WP TypographicSymbols" w:char="003D"/>
      </w:r>
      <w:r w:rsidRPr="00671E64">
        <w:rPr>
          <w:rFonts w:ascii="Arial" w:hAnsi="Arial" w:cs="Arial"/>
        </w:rPr>
        <w:t>s or suspect</w:t>
      </w:r>
      <w:r w:rsidRPr="00671E64">
        <w:rPr>
          <w:rFonts w:ascii="Arial" w:hAnsi="Arial" w:cs="Arial"/>
        </w:rPr>
        <w:sym w:font="WP TypographicSymbols" w:char="003D"/>
      </w:r>
      <w:r w:rsidRPr="00671E64">
        <w:rPr>
          <w:rFonts w:ascii="Arial" w:hAnsi="Arial" w:cs="Arial"/>
        </w:rPr>
        <w:t>s apprehension;</w:t>
      </w:r>
      <w:r>
        <w:rPr>
          <w:rFonts w:ascii="Arial" w:hAnsi="Arial" w:cs="Arial"/>
        </w:rPr>
        <w:br/>
      </w:r>
    </w:p>
    <w:p w14:paraId="67B26C8A" w14:textId="77777777" w:rsidR="0021302C" w:rsidRPr="00671E64" w:rsidRDefault="0021302C" w:rsidP="0021302C">
      <w:pPr>
        <w:widowControl/>
        <w:ind w:left="3600" w:hanging="720"/>
        <w:jc w:val="both"/>
        <w:rPr>
          <w:rFonts w:ascii="Arial" w:hAnsi="Arial" w:cs="Arial"/>
        </w:rPr>
      </w:pPr>
      <w:r w:rsidRPr="008844A1">
        <w:rPr>
          <w:rFonts w:ascii="Arial" w:hAnsi="Arial" w:cs="Arial"/>
        </w:rPr>
        <w:t>(iii)</w:t>
      </w:r>
      <w:r w:rsidRPr="00671E64">
        <w:rPr>
          <w:rFonts w:ascii="Arial" w:hAnsi="Arial" w:cs="Arial"/>
        </w:rPr>
        <w:tab/>
        <w:t>the fact, time, and place of arrest, resistance, pursuit, and use of weapons; and</w:t>
      </w:r>
      <w:r>
        <w:rPr>
          <w:rFonts w:ascii="Arial" w:hAnsi="Arial" w:cs="Arial"/>
        </w:rPr>
        <w:br/>
      </w:r>
    </w:p>
    <w:p w14:paraId="42FAE6D0" w14:textId="77777777" w:rsidR="0021302C" w:rsidRPr="00671E64" w:rsidRDefault="0021302C" w:rsidP="0021302C">
      <w:pPr>
        <w:widowControl/>
        <w:ind w:left="3600" w:hanging="720"/>
        <w:jc w:val="both"/>
        <w:rPr>
          <w:rFonts w:ascii="Arial" w:hAnsi="Arial" w:cs="Arial"/>
        </w:rPr>
      </w:pPr>
      <w:r w:rsidRPr="008844A1">
        <w:rPr>
          <w:rFonts w:ascii="Arial" w:hAnsi="Arial" w:cs="Arial"/>
        </w:rPr>
        <w:t>(iv)</w:t>
      </w:r>
      <w:r w:rsidRPr="00671E64">
        <w:rPr>
          <w:rFonts w:ascii="Arial" w:hAnsi="Arial" w:cs="Arial"/>
        </w:rPr>
        <w:tab/>
        <w:t>the identity of investigating and arresting officers or agencies, and the length of the investigation.</w:t>
      </w:r>
      <w:r>
        <w:rPr>
          <w:rFonts w:ascii="Arial" w:hAnsi="Arial" w:cs="Arial"/>
        </w:rPr>
        <w:br/>
      </w:r>
    </w:p>
    <w:p w14:paraId="2E759CFE" w14:textId="77777777" w:rsidR="0021302C" w:rsidRDefault="0021302C" w:rsidP="0021302C">
      <w:pPr>
        <w:widowControl/>
        <w:ind w:left="1440" w:hanging="720"/>
        <w:jc w:val="both"/>
        <w:outlineLvl w:val="1"/>
        <w:rPr>
          <w:rFonts w:ascii="Arial" w:hAnsi="Arial" w:cs="Arial"/>
        </w:rPr>
      </w:pPr>
      <w:bookmarkStart w:id="43" w:name="_Toc5877626"/>
      <w:bookmarkStart w:id="44" w:name="_Toc5879277"/>
      <w:bookmarkStart w:id="45" w:name="_Toc5879490"/>
      <w:bookmarkStart w:id="46" w:name="_Toc5886801"/>
      <w:bookmarkStart w:id="47" w:name="_Toc56076529"/>
      <w:r w:rsidRPr="00671E64">
        <w:rPr>
          <w:rFonts w:ascii="Arial" w:hAnsi="Arial" w:cs="Arial"/>
          <w:b/>
          <w:bCs/>
        </w:rPr>
        <w:t>(d)</w:t>
      </w:r>
      <w:r w:rsidRPr="00671E64">
        <w:rPr>
          <w:rFonts w:ascii="Arial" w:hAnsi="Arial" w:cs="Arial"/>
          <w:b/>
          <w:bCs/>
        </w:rPr>
        <w:tab/>
        <w:t>Admission to Practice.</w:t>
      </w:r>
      <w:bookmarkEnd w:id="43"/>
      <w:bookmarkEnd w:id="44"/>
      <w:bookmarkEnd w:id="45"/>
      <w:bookmarkEnd w:id="46"/>
      <w:bookmarkEnd w:id="47"/>
      <w:r>
        <w:rPr>
          <w:rFonts w:ascii="Arial" w:hAnsi="Arial" w:cs="Arial"/>
          <w:b/>
          <w:bCs/>
        </w:rPr>
        <w:br/>
      </w:r>
    </w:p>
    <w:p w14:paraId="71149789"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for admission to practice in this court. The request must be submitted through PACER at the following web address: </w:t>
      </w:r>
      <w:hyperlink r:id="rId8" w:history="1">
        <w:r w:rsidRPr="00671E64">
          <w:rPr>
            <w:rStyle w:val="Hyperlink"/>
            <w:rFonts w:ascii="Arial" w:hAnsi="Arial" w:cs="Arial"/>
            <w:color w:val="0000FF"/>
          </w:rPr>
          <w:t>https://www.pacer.gov/</w:t>
        </w:r>
      </w:hyperlink>
      <w:r w:rsidRPr="00671E64">
        <w:rPr>
          <w:rFonts w:ascii="Arial" w:hAnsi="Arial" w:cs="Arial"/>
        </w:rPr>
        <w:t>. The attorney must read and acknowledge the oath in subsection 1.7(e) of this section and pay the prescribed fee. Once the clerk has verified the attorney's admission to the bar of the state identified on the application, the clerk will issue a certificate of admission and add the applicant's name to the attorney roll.</w:t>
      </w:r>
      <w:r>
        <w:rPr>
          <w:rFonts w:ascii="Arial" w:hAnsi="Arial" w:cs="Arial"/>
        </w:rPr>
        <w:br/>
      </w:r>
    </w:p>
    <w:p w14:paraId="3E0645C0" w14:textId="77777777" w:rsidR="0021302C" w:rsidRDefault="0021302C" w:rsidP="0021302C">
      <w:pPr>
        <w:widowControl/>
        <w:ind w:left="2160" w:hanging="720"/>
        <w:jc w:val="both"/>
        <w:outlineLvl w:val="2"/>
        <w:rPr>
          <w:rFonts w:ascii="Arial" w:hAnsi="Arial" w:cs="Arial"/>
        </w:rPr>
      </w:pPr>
      <w:bookmarkStart w:id="48" w:name="_Toc5877627"/>
      <w:bookmarkStart w:id="49" w:name="_Toc5879278"/>
      <w:bookmarkStart w:id="50" w:name="_Toc5879491"/>
      <w:bookmarkStart w:id="51" w:name="_Toc5886802"/>
      <w:bookmarkStart w:id="52" w:name="_Toc56076530"/>
      <w:r w:rsidRPr="00671E64">
        <w:rPr>
          <w:rFonts w:ascii="Arial" w:hAnsi="Arial" w:cs="Arial"/>
          <w:b/>
          <w:bCs/>
        </w:rPr>
        <w:t>(1)</w:t>
      </w:r>
      <w:r w:rsidRPr="00671E64">
        <w:rPr>
          <w:rFonts w:ascii="Arial" w:hAnsi="Arial" w:cs="Arial"/>
          <w:b/>
          <w:bCs/>
        </w:rPr>
        <w:tab/>
        <w:t>Fee Waiver.</w:t>
      </w:r>
      <w:bookmarkEnd w:id="48"/>
      <w:bookmarkEnd w:id="49"/>
      <w:bookmarkEnd w:id="50"/>
      <w:bookmarkEnd w:id="51"/>
      <w:bookmarkEnd w:id="52"/>
      <w:r>
        <w:rPr>
          <w:rFonts w:ascii="Arial" w:hAnsi="Arial" w:cs="Arial"/>
        </w:rPr>
        <w:br/>
      </w:r>
    </w:p>
    <w:p w14:paraId="11AEAEA5" w14:textId="77777777" w:rsidR="0021302C" w:rsidRPr="00671E64" w:rsidRDefault="0021302C" w:rsidP="0021302C">
      <w:pPr>
        <w:widowControl/>
        <w:ind w:left="2160"/>
        <w:jc w:val="both"/>
        <w:rPr>
          <w:rFonts w:ascii="Arial" w:hAnsi="Arial" w:cs="Arial"/>
        </w:rPr>
      </w:pPr>
      <w:r w:rsidRPr="00671E64">
        <w:rPr>
          <w:rFonts w:ascii="Arial" w:hAnsi="Arial" w:cs="Arial"/>
        </w:rPr>
        <w:t>Attorneys employed with federal agencies are not required to pay the admission fee, but must still apply for admission to the court's bar as prescribed in subsection 1.7(d).</w:t>
      </w:r>
      <w:r>
        <w:rPr>
          <w:rFonts w:ascii="Arial" w:hAnsi="Arial" w:cs="Arial"/>
        </w:rPr>
        <w:br/>
      </w:r>
    </w:p>
    <w:p w14:paraId="756EA5E3" w14:textId="77777777" w:rsidR="0021302C" w:rsidRDefault="0021302C" w:rsidP="0021302C">
      <w:pPr>
        <w:widowControl/>
        <w:ind w:left="1440" w:hanging="720"/>
        <w:jc w:val="both"/>
        <w:outlineLvl w:val="1"/>
        <w:rPr>
          <w:rFonts w:ascii="Arial" w:hAnsi="Arial" w:cs="Arial"/>
          <w:b/>
          <w:bCs/>
        </w:rPr>
      </w:pPr>
      <w:bookmarkStart w:id="53" w:name="_Toc5877628"/>
      <w:bookmarkStart w:id="54" w:name="_Toc5879279"/>
      <w:bookmarkStart w:id="55" w:name="_Toc5879492"/>
      <w:bookmarkStart w:id="56" w:name="_Toc5886803"/>
      <w:bookmarkStart w:id="57" w:name="_Toc56076531"/>
      <w:r w:rsidRPr="00671E64">
        <w:rPr>
          <w:rFonts w:ascii="Arial" w:hAnsi="Arial" w:cs="Arial"/>
          <w:b/>
          <w:bCs/>
        </w:rPr>
        <w:t>(e)</w:t>
      </w:r>
      <w:r w:rsidRPr="00671E64">
        <w:rPr>
          <w:rFonts w:ascii="Arial" w:hAnsi="Arial" w:cs="Arial"/>
          <w:b/>
          <w:bCs/>
        </w:rPr>
        <w:tab/>
        <w:t>Oath of Admission.</w:t>
      </w:r>
      <w:bookmarkEnd w:id="53"/>
      <w:bookmarkEnd w:id="54"/>
      <w:bookmarkEnd w:id="55"/>
      <w:bookmarkEnd w:id="56"/>
      <w:bookmarkEnd w:id="57"/>
      <w:r>
        <w:rPr>
          <w:rFonts w:ascii="Arial" w:hAnsi="Arial" w:cs="Arial"/>
          <w:b/>
          <w:bCs/>
        </w:rPr>
        <w:br/>
      </w:r>
    </w:p>
    <w:p w14:paraId="30DEED47" w14:textId="77777777" w:rsidR="0021302C" w:rsidRPr="00671E64" w:rsidRDefault="0021302C" w:rsidP="0021302C">
      <w:pPr>
        <w:widowControl/>
        <w:ind w:left="1440"/>
        <w:jc w:val="both"/>
        <w:rPr>
          <w:rFonts w:ascii="Arial" w:hAnsi="Arial" w:cs="Arial"/>
        </w:rPr>
      </w:pPr>
      <w:r w:rsidRPr="00671E64">
        <w:rPr>
          <w:rFonts w:ascii="Arial" w:hAnsi="Arial" w:cs="Arial"/>
        </w:rPr>
        <w:t>An applicant for admission to this court's bar must swear, affirm, or acknowledge the following:</w:t>
      </w:r>
      <w:r>
        <w:rPr>
          <w:rFonts w:ascii="Arial" w:hAnsi="Arial" w:cs="Arial"/>
        </w:rPr>
        <w:br/>
      </w:r>
    </w:p>
    <w:p w14:paraId="73418159" w14:textId="77777777" w:rsidR="0021302C" w:rsidRPr="00671E64" w:rsidRDefault="0021302C" w:rsidP="0021302C">
      <w:pPr>
        <w:widowControl/>
        <w:ind w:left="2160" w:right="720"/>
        <w:jc w:val="both"/>
        <w:rPr>
          <w:rFonts w:ascii="Arial" w:hAnsi="Arial" w:cs="Arial"/>
        </w:rPr>
      </w:pPr>
      <w:r w:rsidRPr="00671E64">
        <w:rPr>
          <w:rFonts w:ascii="Arial" w:hAnsi="Arial" w:cs="Arial"/>
        </w:rPr>
        <w:t>As an officer of the United States District Court for the District of Nebraska I will demean myself faithfully, uprightly, and according to law; and I will support, uphold, and defend the Constitution of the United States of America.</w:t>
      </w:r>
      <w:r>
        <w:rPr>
          <w:rFonts w:ascii="Arial" w:hAnsi="Arial" w:cs="Arial"/>
        </w:rPr>
        <w:br/>
      </w:r>
    </w:p>
    <w:p w14:paraId="330C3B41" w14:textId="77777777" w:rsidR="0021302C" w:rsidRDefault="0021302C" w:rsidP="0021302C">
      <w:pPr>
        <w:widowControl/>
        <w:ind w:left="1440" w:hanging="720"/>
        <w:jc w:val="both"/>
        <w:outlineLvl w:val="1"/>
        <w:rPr>
          <w:rFonts w:ascii="Arial" w:hAnsi="Arial" w:cs="Arial"/>
        </w:rPr>
      </w:pPr>
      <w:bookmarkStart w:id="58" w:name="a_ƒ"/>
      <w:bookmarkStart w:id="59" w:name="_Toc5877629"/>
      <w:bookmarkStart w:id="60" w:name="_Toc5879280"/>
      <w:bookmarkStart w:id="61" w:name="_Toc5879493"/>
      <w:bookmarkStart w:id="62" w:name="_Toc5886804"/>
      <w:bookmarkStart w:id="63" w:name="_Toc56076532"/>
      <w:bookmarkEnd w:id="58"/>
      <w:r w:rsidRPr="00671E64">
        <w:rPr>
          <w:rFonts w:ascii="Arial" w:hAnsi="Arial" w:cs="Arial"/>
          <w:b/>
          <w:bCs/>
        </w:rPr>
        <w:t>(f)</w:t>
      </w:r>
      <w:r w:rsidRPr="00671E64">
        <w:rPr>
          <w:rFonts w:ascii="Arial" w:hAnsi="Arial" w:cs="Arial"/>
          <w:b/>
          <w:bCs/>
        </w:rPr>
        <w:tab/>
        <w:t>Admission for a Particular Case (Pro Hac Vice).</w:t>
      </w:r>
      <w:bookmarkEnd w:id="59"/>
      <w:bookmarkEnd w:id="60"/>
      <w:bookmarkEnd w:id="61"/>
      <w:bookmarkEnd w:id="62"/>
      <w:bookmarkEnd w:id="63"/>
      <w:r>
        <w:rPr>
          <w:rFonts w:ascii="Arial" w:hAnsi="Arial" w:cs="Arial"/>
          <w:b/>
          <w:bCs/>
        </w:rPr>
        <w:br/>
      </w:r>
    </w:p>
    <w:p w14:paraId="7749F345" w14:textId="77777777" w:rsidR="0021302C" w:rsidRPr="00671E64" w:rsidRDefault="0021302C" w:rsidP="0021302C">
      <w:pPr>
        <w:widowControl/>
        <w:ind w:left="1440"/>
        <w:jc w:val="both"/>
        <w:rPr>
          <w:rFonts w:ascii="Arial" w:hAnsi="Arial" w:cs="Arial"/>
        </w:rPr>
      </w:pPr>
      <w:r w:rsidRPr="00671E64">
        <w:rPr>
          <w:rFonts w:ascii="Arial" w:hAnsi="Arial" w:cs="Arial"/>
        </w:rPr>
        <w:t xml:space="preserve">An attorney admitted and licensed to practice before the highest court of any state may apply in writing to practice in this court for a particular case. </w:t>
      </w:r>
      <w:r w:rsidRPr="003C6A07">
        <w:rPr>
          <w:rFonts w:ascii="Arial" w:hAnsi="Arial" w:cs="Arial"/>
        </w:rPr>
        <w:t>An initial request to proceed pro hac vice in this court</w:t>
      </w:r>
      <w:r>
        <w:rPr>
          <w:rFonts w:ascii="Arial" w:hAnsi="Arial" w:cs="Arial"/>
        </w:rPr>
        <w:t xml:space="preserve"> </w:t>
      </w:r>
      <w:r w:rsidRPr="00671E64">
        <w:rPr>
          <w:rFonts w:ascii="Arial" w:hAnsi="Arial" w:cs="Arial"/>
        </w:rPr>
        <w:t xml:space="preserve">must be submitted through PACER at the following web address: </w:t>
      </w:r>
      <w:hyperlink r:id="rId9" w:history="1">
        <w:r w:rsidRPr="00671E64">
          <w:rPr>
            <w:rStyle w:val="Hyperlink"/>
            <w:rFonts w:ascii="Arial" w:hAnsi="Arial" w:cs="Arial"/>
            <w:color w:val="0000FF"/>
          </w:rPr>
          <w:t>https://www.pacer.gov/</w:t>
        </w:r>
      </w:hyperlink>
      <w:r w:rsidRPr="00671E64">
        <w:rPr>
          <w:rFonts w:ascii="Arial" w:hAnsi="Arial" w:cs="Arial"/>
          <w:u w:val="single"/>
        </w:rPr>
        <w:t>;</w:t>
      </w:r>
      <w:r w:rsidRPr="00671E64">
        <w:rPr>
          <w:rFonts w:ascii="Arial" w:hAnsi="Arial" w:cs="Arial"/>
        </w:rPr>
        <w:t xml:space="preserve"> then, </w:t>
      </w:r>
      <w:r w:rsidRPr="00671E64">
        <w:rPr>
          <w:rFonts w:ascii="Arial" w:hAnsi="Arial" w:cs="Arial"/>
        </w:rPr>
        <w:lastRenderedPageBreak/>
        <w:t xml:space="preserve">a motion filed in the applicable case. </w:t>
      </w:r>
      <w:r w:rsidRPr="00710B84">
        <w:rPr>
          <w:rFonts w:ascii="Arial" w:hAnsi="Arial" w:cs="Arial"/>
        </w:rPr>
        <w:t>Unless directed otherwise, attorneys making subsequent appearances pro hac vice in this court need only file a motion in the applicable case.</w:t>
      </w:r>
      <w:r>
        <w:rPr>
          <w:rFonts w:ascii="Arial" w:hAnsi="Arial" w:cs="Arial"/>
        </w:rPr>
        <w:t xml:space="preserve"> </w:t>
      </w:r>
      <w:r w:rsidRPr="00671E64">
        <w:rPr>
          <w:rFonts w:ascii="Arial" w:hAnsi="Arial" w:cs="Arial"/>
        </w:rPr>
        <w:t>The clerk will verify the attorney</w:t>
      </w:r>
      <w:r w:rsidRPr="00671E64">
        <w:rPr>
          <w:rFonts w:ascii="Arial" w:hAnsi="Arial" w:cs="Arial"/>
        </w:rPr>
        <w:sym w:font="WP TypographicSymbols" w:char="003D"/>
      </w:r>
      <w:r w:rsidRPr="00671E64">
        <w:rPr>
          <w:rFonts w:ascii="Arial" w:hAnsi="Arial" w:cs="Arial"/>
        </w:rPr>
        <w:t>s admission to the bar of the state identified on the motion. An attorney admitted pro hac vice must read and acknowledge the oath in subsection 1.7(e) of this section.</w:t>
      </w:r>
      <w:r>
        <w:rPr>
          <w:rFonts w:ascii="Arial" w:hAnsi="Arial" w:cs="Arial"/>
        </w:rPr>
        <w:br/>
      </w:r>
    </w:p>
    <w:p w14:paraId="6B0682EB" w14:textId="77777777" w:rsidR="0021302C" w:rsidRDefault="0021302C" w:rsidP="0021302C">
      <w:pPr>
        <w:widowControl/>
        <w:ind w:left="1440" w:hanging="720"/>
        <w:jc w:val="both"/>
        <w:outlineLvl w:val="1"/>
        <w:rPr>
          <w:rFonts w:ascii="Arial" w:hAnsi="Arial" w:cs="Arial"/>
          <w:b/>
          <w:bCs/>
        </w:rPr>
      </w:pPr>
      <w:bookmarkStart w:id="64" w:name="_Toc5877630"/>
      <w:bookmarkStart w:id="65" w:name="_Toc5879281"/>
      <w:bookmarkStart w:id="66" w:name="_Toc5879494"/>
      <w:bookmarkStart w:id="67" w:name="_Toc5886805"/>
      <w:bookmarkStart w:id="68" w:name="_Toc56076533"/>
      <w:r w:rsidRPr="00671E64">
        <w:rPr>
          <w:rFonts w:ascii="Arial" w:hAnsi="Arial" w:cs="Arial"/>
          <w:b/>
          <w:bCs/>
        </w:rPr>
        <w:t>(g)</w:t>
      </w:r>
      <w:r w:rsidRPr="00671E64">
        <w:rPr>
          <w:rFonts w:ascii="Arial" w:hAnsi="Arial" w:cs="Arial"/>
          <w:b/>
          <w:bCs/>
        </w:rPr>
        <w:tab/>
        <w:t>Attorney Appointments.</w:t>
      </w:r>
      <w:bookmarkEnd w:id="64"/>
      <w:bookmarkEnd w:id="65"/>
      <w:bookmarkEnd w:id="66"/>
      <w:bookmarkEnd w:id="67"/>
      <w:bookmarkEnd w:id="68"/>
      <w:r>
        <w:rPr>
          <w:rFonts w:ascii="Arial" w:hAnsi="Arial" w:cs="Arial"/>
          <w:b/>
          <w:bCs/>
        </w:rPr>
        <w:br/>
      </w:r>
    </w:p>
    <w:p w14:paraId="73D95E17" w14:textId="77777777" w:rsidR="0021302C" w:rsidRPr="00671E64" w:rsidRDefault="0021302C" w:rsidP="0021302C">
      <w:pPr>
        <w:widowControl/>
        <w:ind w:left="1440"/>
        <w:jc w:val="both"/>
        <w:rPr>
          <w:rFonts w:ascii="Arial" w:hAnsi="Arial" w:cs="Arial"/>
        </w:rPr>
      </w:pPr>
      <w:r w:rsidRPr="00671E64">
        <w:rPr>
          <w:rFonts w:ascii="Arial" w:hAnsi="Arial" w:cs="Arial"/>
        </w:rPr>
        <w:t>A judge may appoint any member of this court</w:t>
      </w:r>
      <w:r>
        <w:rPr>
          <w:rFonts w:ascii="Arial" w:hAnsi="Arial" w:cs="Arial"/>
        </w:rPr>
        <w:t>’</w:t>
      </w:r>
      <w:r w:rsidRPr="00671E64">
        <w:rPr>
          <w:rFonts w:ascii="Arial" w:hAnsi="Arial" w:cs="Arial"/>
        </w:rPr>
        <w:t>s bar to represent indigent litigants. This is an attorney</w:t>
      </w:r>
      <w:r w:rsidRPr="00671E64">
        <w:rPr>
          <w:rFonts w:ascii="Arial" w:hAnsi="Arial" w:cs="Arial"/>
        </w:rPr>
        <w:sym w:font="WP TypographicSymbols" w:char="003D"/>
      </w:r>
      <w:r w:rsidRPr="00671E64">
        <w:rPr>
          <w:rFonts w:ascii="Arial" w:hAnsi="Arial" w:cs="Arial"/>
        </w:rPr>
        <w:t>s ethical obligation. Once appointed, an attorney is expected to conduct the litigation in a professionally zealous manner. An appointment does not, however, require an attorney to advance to the litigant the expenses of the litigation; expenses remain the litigant</w:t>
      </w:r>
      <w:r w:rsidRPr="00671E64">
        <w:rPr>
          <w:rFonts w:ascii="Arial" w:hAnsi="Arial" w:cs="Arial"/>
        </w:rPr>
        <w:sym w:font="WP TypographicSymbols" w:char="003D"/>
      </w:r>
      <w:r w:rsidRPr="00671E64">
        <w:rPr>
          <w:rFonts w:ascii="Arial" w:hAnsi="Arial" w:cs="Arial"/>
        </w:rPr>
        <w:t xml:space="preserve">s responsibility, and the attorney may contract with the litigant for payment. Appointed attorneys may request authorization to incur expenses under the Criminal Justice Act, 18 U.S.C. </w:t>
      </w:r>
      <w:r w:rsidRPr="00671E64">
        <w:rPr>
          <w:rFonts w:ascii="Arial" w:hAnsi="Arial" w:cs="Arial"/>
        </w:rPr>
        <w:sym w:font="WP TypographicSymbols" w:char="0027"/>
      </w:r>
      <w:r w:rsidRPr="00671E64">
        <w:rPr>
          <w:rFonts w:ascii="Arial" w:hAnsi="Arial" w:cs="Arial"/>
        </w:rPr>
        <w:t xml:space="preserve"> 3006A, or the Amended Plans for Administration of the Federal Practice Fund and the Federal Practice Committee, </w:t>
      </w:r>
      <w:hyperlink r:id="rId10" w:history="1">
        <w:r w:rsidRPr="00671E64">
          <w:rPr>
            <w:rStyle w:val="Hyperlink"/>
            <w:rFonts w:ascii="Arial" w:hAnsi="Arial" w:cs="Arial"/>
            <w:color w:val="0000FF"/>
          </w:rPr>
          <w:t>https://www.ned.uscourts.gov/plans</w:t>
        </w:r>
        <w:r w:rsidRPr="00671E64">
          <w:rPr>
            <w:rStyle w:val="Hyperlink"/>
            <w:rFonts w:ascii="Arial" w:hAnsi="Arial" w:cs="Arial"/>
            <w:color w:val="0000FF"/>
          </w:rPr>
          <w:noBreakHyphen/>
          <w:t>and</w:t>
        </w:r>
        <w:r w:rsidRPr="00671E64">
          <w:rPr>
            <w:rStyle w:val="Hyperlink"/>
            <w:rFonts w:ascii="Arial" w:hAnsi="Arial" w:cs="Arial"/>
            <w:color w:val="0000FF"/>
          </w:rPr>
          <w:noBreakHyphen/>
          <w:t>policies</w:t>
        </w:r>
      </w:hyperlink>
      <w:r w:rsidRPr="00671E64">
        <w:rPr>
          <w:rFonts w:ascii="Arial" w:hAnsi="Arial" w:cs="Arial"/>
        </w:rPr>
        <w:t xml:space="preserve">. Appointed attorneys may not, however, contract with the litigant for the payment of attorney fees for professional services without the </w:t>
      </w:r>
      <w:r>
        <w:rPr>
          <w:rFonts w:ascii="Arial" w:hAnsi="Arial" w:cs="Arial"/>
        </w:rPr>
        <w:t xml:space="preserve">court’s </w:t>
      </w:r>
      <w:r w:rsidRPr="00671E64">
        <w:rPr>
          <w:rFonts w:ascii="Arial" w:hAnsi="Arial" w:cs="Arial"/>
        </w:rPr>
        <w:t xml:space="preserve">explicit prior approval. Fees are available to appointed attorneys only as prescribed by the court or, alternatively, by the statutory framework of the litigant's claim or defense. </w:t>
      </w:r>
      <w:r w:rsidRPr="00671E64">
        <w:rPr>
          <w:rFonts w:ascii="Arial" w:hAnsi="Arial" w:cs="Arial"/>
          <w:i/>
          <w:iCs/>
        </w:rPr>
        <w:t>See, e.g.,</w:t>
      </w:r>
      <w:r w:rsidRPr="00671E64">
        <w:rPr>
          <w:rFonts w:ascii="Arial" w:hAnsi="Arial" w:cs="Arial"/>
        </w:rPr>
        <w:t xml:space="preserve"> 18 U.S.C. </w:t>
      </w:r>
      <w:r w:rsidRPr="00671E64">
        <w:rPr>
          <w:rFonts w:ascii="Arial" w:hAnsi="Arial" w:cs="Arial"/>
        </w:rPr>
        <w:sym w:font="WP TypographicSymbols" w:char="0027"/>
      </w:r>
      <w:r w:rsidRPr="00671E64">
        <w:rPr>
          <w:rFonts w:ascii="Arial" w:hAnsi="Arial" w:cs="Arial"/>
        </w:rPr>
        <w:t xml:space="preserve"> 3006A; 42 U.S.C. </w:t>
      </w:r>
      <w:r w:rsidRPr="00671E64">
        <w:rPr>
          <w:rFonts w:ascii="Arial" w:hAnsi="Arial" w:cs="Arial"/>
        </w:rPr>
        <w:sym w:font="WP TypographicSymbols" w:char="0027"/>
      </w:r>
      <w:r w:rsidRPr="00671E64">
        <w:rPr>
          <w:rFonts w:ascii="Arial" w:hAnsi="Arial" w:cs="Arial"/>
        </w:rPr>
        <w:t xml:space="preserve"> 1988.</w:t>
      </w:r>
      <w:r>
        <w:rPr>
          <w:rFonts w:ascii="Arial" w:hAnsi="Arial" w:cs="Arial"/>
        </w:rPr>
        <w:br/>
      </w:r>
    </w:p>
    <w:p w14:paraId="74FB87C5" w14:textId="77777777" w:rsidR="0021302C" w:rsidRDefault="0021302C" w:rsidP="0021302C">
      <w:pPr>
        <w:widowControl/>
        <w:ind w:left="1440" w:hanging="720"/>
        <w:jc w:val="both"/>
        <w:outlineLvl w:val="1"/>
        <w:rPr>
          <w:rFonts w:ascii="Arial" w:hAnsi="Arial" w:cs="Arial"/>
          <w:b/>
          <w:bCs/>
        </w:rPr>
      </w:pPr>
      <w:bookmarkStart w:id="69" w:name="_Toc5877631"/>
      <w:bookmarkStart w:id="70" w:name="_Toc5879282"/>
      <w:bookmarkStart w:id="71" w:name="_Toc5879495"/>
      <w:bookmarkStart w:id="72" w:name="_Toc5886806"/>
      <w:bookmarkStart w:id="73" w:name="_Toc56076534"/>
      <w:r w:rsidRPr="00671E64">
        <w:rPr>
          <w:rFonts w:ascii="Arial" w:hAnsi="Arial" w:cs="Arial"/>
          <w:b/>
          <w:bCs/>
        </w:rPr>
        <w:t>(h)</w:t>
      </w:r>
      <w:r w:rsidRPr="00671E64">
        <w:rPr>
          <w:rFonts w:ascii="Arial" w:hAnsi="Arial" w:cs="Arial"/>
          <w:b/>
          <w:bCs/>
        </w:rPr>
        <w:tab/>
        <w:t>Pro Hac Vice Admission Fee.</w:t>
      </w:r>
      <w:bookmarkEnd w:id="69"/>
      <w:bookmarkEnd w:id="70"/>
      <w:bookmarkEnd w:id="71"/>
      <w:bookmarkEnd w:id="72"/>
      <w:bookmarkEnd w:id="73"/>
      <w:r>
        <w:rPr>
          <w:rFonts w:ascii="Arial" w:hAnsi="Arial" w:cs="Arial"/>
          <w:b/>
          <w:bCs/>
        </w:rPr>
        <w:br/>
      </w:r>
    </w:p>
    <w:p w14:paraId="709494AA" w14:textId="77777777" w:rsidR="0021302C" w:rsidRPr="00671E64" w:rsidRDefault="0021302C" w:rsidP="0021302C">
      <w:pPr>
        <w:widowControl/>
        <w:ind w:left="1440"/>
        <w:jc w:val="both"/>
        <w:rPr>
          <w:rFonts w:ascii="Arial" w:hAnsi="Arial" w:cs="Arial"/>
        </w:rPr>
      </w:pPr>
      <w:r w:rsidRPr="00671E64">
        <w:rPr>
          <w:rFonts w:ascii="Arial" w:hAnsi="Arial" w:cs="Arial"/>
        </w:rPr>
        <w:t>In civil cases the only source of funds available to reimburse appointed attorneys for reasonable expenses incurred in representing an indigent litigant is the Federal Practice Fund,</w:t>
      </w:r>
      <w:r w:rsidRPr="00671E64">
        <w:rPr>
          <w:rStyle w:val="Hypertext"/>
          <w:rFonts w:ascii="Arial" w:hAnsi="Arial" w:cs="Arial"/>
          <w:u w:val="none"/>
        </w:rPr>
        <w:t xml:space="preserve"> </w:t>
      </w:r>
      <w:hyperlink r:id="rId11" w:history="1">
        <w:r w:rsidRPr="00671E64">
          <w:rPr>
            <w:rStyle w:val="Hyperlink"/>
            <w:rFonts w:ascii="Arial" w:hAnsi="Arial" w:cs="Arial"/>
            <w:color w:val="0000FF"/>
          </w:rPr>
          <w:t>https://www.ned.uscourts.gov/internetDocs/pom/crtplans/fedpract.pdf</w:t>
        </w:r>
      </w:hyperlink>
      <w:r w:rsidRPr="00671E64">
        <w:rPr>
          <w:rFonts w:ascii="Arial" w:hAnsi="Arial" w:cs="Arial"/>
        </w:rPr>
        <w:t>. To</w:t>
      </w:r>
      <w:r>
        <w:rPr>
          <w:rFonts w:ascii="Arial" w:hAnsi="Arial" w:cs="Arial"/>
        </w:rPr>
        <w:t xml:space="preserve"> </w:t>
      </w:r>
      <w:proofErr w:type="gramStart"/>
      <w:r w:rsidRPr="00671E64">
        <w:rPr>
          <w:rFonts w:ascii="Arial" w:hAnsi="Arial" w:cs="Arial"/>
        </w:rPr>
        <w:t>insure</w:t>
      </w:r>
      <w:proofErr w:type="gramEnd"/>
      <w:r w:rsidRPr="00671E64">
        <w:rPr>
          <w:rFonts w:ascii="Arial" w:hAnsi="Arial" w:cs="Arial"/>
        </w:rPr>
        <w:t xml:space="preserve"> that the fund will cover these expenses, the court charges a pro hac vice fee to attorneys seeking to be admitted pro hac vice</w:t>
      </w:r>
      <w:r w:rsidRPr="005336F4">
        <w:rPr>
          <w:rFonts w:ascii="Arial" w:hAnsi="Arial" w:cs="Arial"/>
        </w:rPr>
        <w:t>.</w:t>
      </w:r>
      <w:r w:rsidRPr="00671E64">
        <w:rPr>
          <w:rFonts w:ascii="Arial" w:hAnsi="Arial" w:cs="Arial"/>
        </w:rPr>
        <w:t xml:space="preserve"> The proceeds of this fee are used to defray the cost of maintaining a roll of attorneys admitted to practice before this court and for the Federal Practice Fund. Failure to pay the pro hac vice fee is cause to deny an attorney admission to proceed pro hac vice.</w:t>
      </w:r>
      <w:r>
        <w:rPr>
          <w:rFonts w:ascii="Arial" w:hAnsi="Arial" w:cs="Arial"/>
        </w:rPr>
        <w:br/>
      </w:r>
    </w:p>
    <w:p w14:paraId="0F182097" w14:textId="77777777" w:rsidR="0021302C" w:rsidRDefault="0021302C" w:rsidP="0021302C">
      <w:pPr>
        <w:widowControl/>
        <w:ind w:left="1440" w:hanging="720"/>
        <w:jc w:val="both"/>
        <w:outlineLvl w:val="1"/>
        <w:rPr>
          <w:rFonts w:ascii="Arial" w:hAnsi="Arial" w:cs="Arial"/>
          <w:b/>
          <w:bCs/>
        </w:rPr>
      </w:pPr>
      <w:bookmarkStart w:id="74" w:name="_Toc5877632"/>
      <w:bookmarkStart w:id="75" w:name="_Toc5879283"/>
      <w:bookmarkStart w:id="76" w:name="_Toc5879496"/>
      <w:bookmarkStart w:id="77" w:name="_Toc5886807"/>
      <w:bookmarkStart w:id="78" w:name="_Toc56076535"/>
      <w:r w:rsidRPr="00671E64">
        <w:rPr>
          <w:rFonts w:ascii="Arial" w:hAnsi="Arial" w:cs="Arial"/>
          <w:b/>
          <w:bCs/>
        </w:rPr>
        <w:t>(i)</w:t>
      </w:r>
      <w:r w:rsidRPr="00671E64">
        <w:rPr>
          <w:rFonts w:ascii="Arial" w:hAnsi="Arial" w:cs="Arial"/>
          <w:b/>
          <w:bCs/>
        </w:rPr>
        <w:tab/>
        <w:t>Nonresident Attorneys.</w:t>
      </w:r>
      <w:bookmarkEnd w:id="74"/>
      <w:bookmarkEnd w:id="75"/>
      <w:bookmarkEnd w:id="76"/>
      <w:bookmarkEnd w:id="77"/>
      <w:bookmarkEnd w:id="78"/>
      <w:r>
        <w:rPr>
          <w:rFonts w:ascii="Arial" w:hAnsi="Arial" w:cs="Arial"/>
          <w:b/>
          <w:bCs/>
        </w:rPr>
        <w:br/>
      </w:r>
    </w:p>
    <w:p w14:paraId="2BA70AD0" w14:textId="77777777" w:rsidR="0021302C" w:rsidRPr="00671E64" w:rsidRDefault="0021302C" w:rsidP="0021302C">
      <w:pPr>
        <w:widowControl/>
        <w:ind w:left="1440"/>
        <w:jc w:val="both"/>
        <w:rPr>
          <w:rFonts w:ascii="Arial" w:hAnsi="Arial" w:cs="Arial"/>
        </w:rPr>
      </w:pPr>
      <w:r w:rsidRPr="00671E64">
        <w:rPr>
          <w:rFonts w:ascii="Arial" w:hAnsi="Arial" w:cs="Arial"/>
        </w:rPr>
        <w:t>A judge may require an attorney who is not a resident of this district to associate with an attorney who is both a resident of this district and a member of this court</w:t>
      </w:r>
      <w:r>
        <w:rPr>
          <w:rFonts w:ascii="Arial" w:hAnsi="Arial" w:cs="Arial"/>
        </w:rPr>
        <w:t>’</w:t>
      </w:r>
      <w:r w:rsidRPr="00671E64">
        <w:rPr>
          <w:rFonts w:ascii="Arial" w:hAnsi="Arial" w:cs="Arial"/>
        </w:rPr>
        <w:t xml:space="preserve">s bar. This resident attorney's name must be identified on all documents filed thereafter and that attorney must continue in the case unless another resident attorney makes an appearance. The resident </w:t>
      </w:r>
      <w:r w:rsidRPr="00671E64">
        <w:rPr>
          <w:rFonts w:ascii="Arial" w:hAnsi="Arial" w:cs="Arial"/>
        </w:rPr>
        <w:lastRenderedPageBreak/>
        <w:t>attorney need not be present in court during all proceedings unless the court orders otherwise. The resident attorney must have full authority to act for and on behalf of the client in all matters, including appearing at pretrial conferences, trial, or any hearings.</w:t>
      </w:r>
      <w:r>
        <w:rPr>
          <w:rFonts w:ascii="Arial" w:hAnsi="Arial" w:cs="Arial"/>
        </w:rPr>
        <w:br/>
      </w:r>
    </w:p>
    <w:p w14:paraId="42568BC1" w14:textId="77777777" w:rsidR="0021302C" w:rsidRPr="00671E64" w:rsidRDefault="0021302C" w:rsidP="0021302C">
      <w:pPr>
        <w:widowControl/>
        <w:ind w:left="1440" w:hanging="720"/>
        <w:jc w:val="both"/>
        <w:outlineLvl w:val="1"/>
        <w:rPr>
          <w:rFonts w:ascii="Arial" w:hAnsi="Arial" w:cs="Arial"/>
        </w:rPr>
      </w:pPr>
      <w:bookmarkStart w:id="79" w:name="_Toc5877633"/>
      <w:bookmarkStart w:id="80" w:name="_Toc5879284"/>
      <w:bookmarkStart w:id="81" w:name="_Toc5879497"/>
      <w:bookmarkStart w:id="82" w:name="_Toc5886808"/>
      <w:bookmarkStart w:id="83" w:name="_Toc56076536"/>
      <w:r w:rsidRPr="00671E64">
        <w:rPr>
          <w:rFonts w:ascii="Arial" w:hAnsi="Arial" w:cs="Arial"/>
          <w:b/>
          <w:bCs/>
        </w:rPr>
        <w:t>(j)</w:t>
      </w:r>
      <w:r w:rsidRPr="00671E64">
        <w:rPr>
          <w:rFonts w:ascii="Arial" w:hAnsi="Arial" w:cs="Arial"/>
          <w:b/>
          <w:bCs/>
        </w:rPr>
        <w:tab/>
        <w:t>Clinical Legal Education.</w:t>
      </w:r>
      <w:bookmarkEnd w:id="79"/>
      <w:bookmarkEnd w:id="80"/>
      <w:bookmarkEnd w:id="81"/>
      <w:bookmarkEnd w:id="82"/>
      <w:bookmarkEnd w:id="83"/>
      <w:r>
        <w:rPr>
          <w:rFonts w:ascii="Arial" w:hAnsi="Arial" w:cs="Arial"/>
          <w:b/>
          <w:bCs/>
        </w:rPr>
        <w:br/>
      </w:r>
    </w:p>
    <w:p w14:paraId="0D3C3BD1" w14:textId="77777777" w:rsidR="0021302C" w:rsidRPr="00671E64" w:rsidRDefault="0021302C" w:rsidP="0021302C">
      <w:pPr>
        <w:widowControl/>
        <w:ind w:left="2160" w:hanging="720"/>
        <w:jc w:val="both"/>
        <w:outlineLvl w:val="2"/>
        <w:rPr>
          <w:rFonts w:ascii="Arial" w:hAnsi="Arial" w:cs="Arial"/>
        </w:rPr>
      </w:pPr>
      <w:bookmarkStart w:id="84" w:name="_Toc5877634"/>
      <w:bookmarkStart w:id="85" w:name="_Toc5879285"/>
      <w:bookmarkStart w:id="86" w:name="_Toc5879498"/>
      <w:bookmarkStart w:id="87" w:name="_Toc5886809"/>
      <w:bookmarkStart w:id="88" w:name="_Toc56076537"/>
      <w:r w:rsidRPr="00671E64">
        <w:rPr>
          <w:rFonts w:ascii="Arial" w:hAnsi="Arial" w:cs="Arial"/>
          <w:b/>
          <w:bCs/>
        </w:rPr>
        <w:t>(1)</w:t>
      </w:r>
      <w:r w:rsidRPr="00671E64">
        <w:rPr>
          <w:rFonts w:ascii="Arial" w:hAnsi="Arial" w:cs="Arial"/>
          <w:b/>
          <w:bCs/>
        </w:rPr>
        <w:tab/>
        <w:t>Limited Admission.</w:t>
      </w:r>
      <w:bookmarkEnd w:id="84"/>
      <w:bookmarkEnd w:id="85"/>
      <w:bookmarkEnd w:id="86"/>
      <w:bookmarkEnd w:id="87"/>
      <w:bookmarkEnd w:id="88"/>
      <w:r>
        <w:rPr>
          <w:rFonts w:ascii="Arial" w:hAnsi="Arial" w:cs="Arial"/>
          <w:b/>
          <w:bCs/>
        </w:rPr>
        <w:br/>
      </w:r>
    </w:p>
    <w:p w14:paraId="5ACF6617" w14:textId="77777777" w:rsidR="0021302C" w:rsidRDefault="0021302C" w:rsidP="0021302C">
      <w:pPr>
        <w:widowControl/>
        <w:ind w:left="2880" w:hanging="720"/>
        <w:jc w:val="both"/>
        <w:outlineLvl w:val="3"/>
        <w:rPr>
          <w:rFonts w:ascii="Arial" w:hAnsi="Arial" w:cs="Arial"/>
        </w:rPr>
      </w:pPr>
      <w:bookmarkStart w:id="89" w:name="_Toc5877635"/>
      <w:bookmarkStart w:id="90" w:name="_Toc5879286"/>
      <w:bookmarkStart w:id="91" w:name="_Toc5879499"/>
      <w:bookmarkStart w:id="92" w:name="_Toc5886810"/>
      <w:bookmarkStart w:id="93" w:name="_Toc56076538"/>
      <w:r w:rsidRPr="00671E64">
        <w:rPr>
          <w:rFonts w:ascii="Arial" w:hAnsi="Arial" w:cs="Arial"/>
          <w:b/>
          <w:bCs/>
        </w:rPr>
        <w:t>(A)</w:t>
      </w:r>
      <w:r w:rsidRPr="00671E64">
        <w:rPr>
          <w:rFonts w:ascii="Arial" w:hAnsi="Arial" w:cs="Arial"/>
          <w:b/>
          <w:bCs/>
        </w:rPr>
        <w:tab/>
        <w:t>By Motion.</w:t>
      </w:r>
      <w:bookmarkEnd w:id="89"/>
      <w:bookmarkEnd w:id="90"/>
      <w:bookmarkEnd w:id="91"/>
      <w:bookmarkEnd w:id="92"/>
      <w:bookmarkEnd w:id="93"/>
      <w:r>
        <w:rPr>
          <w:rFonts w:ascii="Arial" w:hAnsi="Arial" w:cs="Arial"/>
          <w:b/>
          <w:bCs/>
        </w:rPr>
        <w:br/>
      </w:r>
    </w:p>
    <w:p w14:paraId="618C5DCA" w14:textId="77777777" w:rsidR="0021302C" w:rsidRPr="00671E64" w:rsidRDefault="0021302C" w:rsidP="0021302C">
      <w:pPr>
        <w:widowControl/>
        <w:ind w:left="2880"/>
        <w:jc w:val="both"/>
        <w:rPr>
          <w:rFonts w:ascii="Arial" w:hAnsi="Arial" w:cs="Arial"/>
        </w:rPr>
      </w:pPr>
      <w:r w:rsidRPr="00671E64">
        <w:rPr>
          <w:rFonts w:ascii="Arial" w:hAnsi="Arial" w:cs="Arial"/>
        </w:rPr>
        <w:t>An eligible law student acting under a supervising attorney may be admitted to the limited practice of law in this court on the supervising attorney</w:t>
      </w:r>
      <w:r w:rsidRPr="00671E64">
        <w:rPr>
          <w:rFonts w:ascii="Arial" w:hAnsi="Arial" w:cs="Arial"/>
        </w:rPr>
        <w:sym w:font="WP TypographicSymbols" w:char="003D"/>
      </w:r>
      <w:r w:rsidRPr="00671E64">
        <w:rPr>
          <w:rFonts w:ascii="Arial" w:hAnsi="Arial" w:cs="Arial"/>
        </w:rPr>
        <w:t>s motion.</w:t>
      </w:r>
      <w:r>
        <w:rPr>
          <w:rFonts w:ascii="Arial" w:hAnsi="Arial" w:cs="Arial"/>
        </w:rPr>
        <w:br/>
      </w:r>
    </w:p>
    <w:p w14:paraId="60F6FBA0" w14:textId="77777777" w:rsidR="0021302C" w:rsidRPr="00671E64" w:rsidRDefault="0021302C" w:rsidP="0021302C">
      <w:pPr>
        <w:widowControl/>
        <w:ind w:left="2880" w:hanging="720"/>
        <w:jc w:val="both"/>
        <w:outlineLvl w:val="3"/>
        <w:rPr>
          <w:rFonts w:ascii="Arial" w:hAnsi="Arial" w:cs="Arial"/>
        </w:rPr>
      </w:pPr>
      <w:bookmarkStart w:id="94" w:name="_Toc5877636"/>
      <w:bookmarkStart w:id="95" w:name="_Toc5879287"/>
      <w:bookmarkStart w:id="96" w:name="_Toc5879500"/>
      <w:bookmarkStart w:id="97" w:name="_Toc5886811"/>
      <w:bookmarkStart w:id="98" w:name="_Toc56076539"/>
      <w:r w:rsidRPr="00671E64">
        <w:rPr>
          <w:rFonts w:ascii="Arial" w:hAnsi="Arial" w:cs="Arial"/>
          <w:b/>
          <w:bCs/>
        </w:rPr>
        <w:t>(B)</w:t>
      </w:r>
      <w:r w:rsidRPr="00671E64">
        <w:rPr>
          <w:rFonts w:ascii="Arial" w:hAnsi="Arial" w:cs="Arial"/>
          <w:b/>
          <w:bCs/>
        </w:rPr>
        <w:tab/>
        <w:t>Representation.</w:t>
      </w:r>
      <w:bookmarkEnd w:id="94"/>
      <w:bookmarkEnd w:id="95"/>
      <w:bookmarkEnd w:id="96"/>
      <w:bookmarkEnd w:id="97"/>
      <w:bookmarkEnd w:id="98"/>
      <w:r>
        <w:rPr>
          <w:rFonts w:ascii="Arial" w:hAnsi="Arial" w:cs="Arial"/>
          <w:b/>
          <w:bCs/>
        </w:rPr>
        <w:br/>
      </w:r>
    </w:p>
    <w:p w14:paraId="7E2022E1" w14:textId="77777777" w:rsidR="0021302C" w:rsidRPr="002A4E72" w:rsidRDefault="0021302C" w:rsidP="0021302C">
      <w:pPr>
        <w:widowControl/>
        <w:ind w:left="3600" w:hanging="720"/>
        <w:jc w:val="both"/>
        <w:rPr>
          <w:rFonts w:ascii="Arial" w:hAnsi="Arial" w:cs="Arial"/>
        </w:rPr>
      </w:pPr>
      <w:r w:rsidRPr="002A4E72">
        <w:rPr>
          <w:rFonts w:ascii="Arial" w:hAnsi="Arial" w:cs="Arial"/>
        </w:rPr>
        <w:t>(i)</w:t>
      </w:r>
      <w:r w:rsidRPr="002A4E72">
        <w:rPr>
          <w:rFonts w:ascii="Arial" w:hAnsi="Arial" w:cs="Arial"/>
        </w:rPr>
        <w:tab/>
        <w:t>An eligible law student may represent the United States in both civil and criminal matters.</w:t>
      </w:r>
      <w:r w:rsidRPr="002A4E72">
        <w:rPr>
          <w:rFonts w:ascii="Arial" w:hAnsi="Arial" w:cs="Arial"/>
        </w:rPr>
        <w:br/>
      </w:r>
    </w:p>
    <w:p w14:paraId="31E71850" w14:textId="77777777" w:rsidR="0021302C" w:rsidRPr="00671E64" w:rsidRDefault="0021302C" w:rsidP="0021302C">
      <w:pPr>
        <w:widowControl/>
        <w:ind w:left="3600" w:hanging="720"/>
        <w:jc w:val="both"/>
        <w:rPr>
          <w:rFonts w:ascii="Arial" w:hAnsi="Arial" w:cs="Arial"/>
        </w:rPr>
      </w:pPr>
      <w:r w:rsidRPr="002A4E72">
        <w:rPr>
          <w:rFonts w:ascii="Arial" w:hAnsi="Arial" w:cs="Arial"/>
        </w:rPr>
        <w:t>(ii)</w:t>
      </w:r>
      <w:r w:rsidRPr="002A4E72">
        <w:rPr>
          <w:rFonts w:ascii="Arial" w:hAnsi="Arial" w:cs="Arial"/>
        </w:rPr>
        <w:tab/>
        <w:t>If a supervising attorney and the client give written consent, an eligible law student may represent the client in any civil or criminal matter.</w:t>
      </w:r>
      <w:r>
        <w:rPr>
          <w:rFonts w:ascii="Arial" w:hAnsi="Arial" w:cs="Arial"/>
        </w:rPr>
        <w:br/>
      </w:r>
    </w:p>
    <w:p w14:paraId="099C713C" w14:textId="77777777" w:rsidR="0021302C" w:rsidRDefault="0021302C" w:rsidP="0021302C">
      <w:pPr>
        <w:widowControl/>
        <w:ind w:left="2880" w:hanging="720"/>
        <w:jc w:val="both"/>
        <w:outlineLvl w:val="3"/>
        <w:rPr>
          <w:rFonts w:ascii="Arial" w:hAnsi="Arial" w:cs="Arial"/>
        </w:rPr>
      </w:pPr>
      <w:bookmarkStart w:id="99" w:name="_Toc5877637"/>
      <w:bookmarkStart w:id="100" w:name="_Toc5879288"/>
      <w:bookmarkStart w:id="101" w:name="_Toc5879501"/>
      <w:bookmarkStart w:id="102" w:name="_Toc5886812"/>
      <w:bookmarkStart w:id="103" w:name="_Toc56076540"/>
      <w:r w:rsidRPr="00671E64">
        <w:rPr>
          <w:rFonts w:ascii="Arial" w:hAnsi="Arial" w:cs="Arial"/>
          <w:b/>
          <w:bCs/>
        </w:rPr>
        <w:t>(C)</w:t>
      </w:r>
      <w:r w:rsidRPr="00671E64">
        <w:rPr>
          <w:rFonts w:ascii="Arial" w:hAnsi="Arial" w:cs="Arial"/>
          <w:b/>
          <w:bCs/>
        </w:rPr>
        <w:tab/>
        <w:t>Permitted Activities.</w:t>
      </w:r>
      <w:bookmarkEnd w:id="99"/>
      <w:bookmarkEnd w:id="100"/>
      <w:bookmarkEnd w:id="101"/>
      <w:bookmarkEnd w:id="102"/>
      <w:bookmarkEnd w:id="103"/>
      <w:r>
        <w:rPr>
          <w:rFonts w:ascii="Arial" w:hAnsi="Arial" w:cs="Arial"/>
          <w:b/>
          <w:bCs/>
        </w:rPr>
        <w:br/>
      </w:r>
    </w:p>
    <w:p w14:paraId="51B0B8CD" w14:textId="77777777" w:rsidR="0021302C" w:rsidRPr="00671E64" w:rsidRDefault="0021302C" w:rsidP="0021302C">
      <w:pPr>
        <w:widowControl/>
        <w:ind w:left="2880"/>
        <w:jc w:val="both"/>
        <w:rPr>
          <w:rFonts w:ascii="Arial" w:hAnsi="Arial" w:cs="Arial"/>
        </w:rPr>
      </w:pPr>
      <w:r w:rsidRPr="00671E64">
        <w:rPr>
          <w:rFonts w:ascii="Arial" w:hAnsi="Arial" w:cs="Arial"/>
        </w:rPr>
        <w:t>The eligible law student may, under the conditions stated below, interview, advise, hold consultations, and prepare and sign documents for filing. The eligible law student may participate orally in contested and uncontested matters, including trials.</w:t>
      </w:r>
      <w:r>
        <w:rPr>
          <w:rFonts w:ascii="Arial" w:hAnsi="Arial" w:cs="Arial"/>
        </w:rPr>
        <w:br/>
      </w:r>
    </w:p>
    <w:p w14:paraId="03AE7E8C" w14:textId="77777777" w:rsidR="0021302C" w:rsidRDefault="0021302C" w:rsidP="0021302C">
      <w:pPr>
        <w:widowControl/>
        <w:ind w:left="2880" w:hanging="720"/>
        <w:jc w:val="both"/>
        <w:outlineLvl w:val="3"/>
        <w:rPr>
          <w:rFonts w:ascii="Arial" w:hAnsi="Arial" w:cs="Arial"/>
        </w:rPr>
      </w:pPr>
      <w:bookmarkStart w:id="104" w:name="_Toc5886813"/>
      <w:bookmarkStart w:id="105" w:name="_Toc56076541"/>
      <w:r w:rsidRPr="00671E64">
        <w:rPr>
          <w:rFonts w:ascii="Arial" w:hAnsi="Arial" w:cs="Arial"/>
          <w:b/>
          <w:bCs/>
        </w:rPr>
        <w:t>(D)</w:t>
      </w:r>
      <w:r w:rsidRPr="00671E64">
        <w:rPr>
          <w:rFonts w:ascii="Arial" w:hAnsi="Arial" w:cs="Arial"/>
          <w:b/>
          <w:bCs/>
        </w:rPr>
        <w:tab/>
        <w:t>Application of Rules.</w:t>
      </w:r>
      <w:bookmarkEnd w:id="104"/>
      <w:bookmarkEnd w:id="105"/>
      <w:r>
        <w:rPr>
          <w:rFonts w:ascii="Arial" w:hAnsi="Arial" w:cs="Arial"/>
          <w:b/>
          <w:bCs/>
        </w:rPr>
        <w:br/>
      </w:r>
    </w:p>
    <w:p w14:paraId="58396DD1" w14:textId="77777777" w:rsidR="0021302C" w:rsidRPr="00671E64" w:rsidRDefault="0021302C" w:rsidP="0021302C">
      <w:pPr>
        <w:widowControl/>
        <w:ind w:left="2880"/>
        <w:jc w:val="both"/>
        <w:rPr>
          <w:rFonts w:ascii="Arial" w:hAnsi="Arial" w:cs="Arial"/>
        </w:rPr>
      </w:pPr>
      <w:r w:rsidRPr="00671E64">
        <w:rPr>
          <w:rFonts w:ascii="Arial" w:hAnsi="Arial" w:cs="Arial"/>
        </w:rPr>
        <w:t>The eligible law student is bound by all of this court</w:t>
      </w:r>
      <w:r>
        <w:rPr>
          <w:rFonts w:ascii="Arial" w:hAnsi="Arial" w:cs="Arial"/>
        </w:rPr>
        <w:t>’</w:t>
      </w:r>
      <w:r w:rsidRPr="00671E64">
        <w:rPr>
          <w:rFonts w:ascii="Arial" w:hAnsi="Arial" w:cs="Arial"/>
        </w:rPr>
        <w:t>s rules applicable to the supervising attorney in the case in which the law student is participating.</w:t>
      </w:r>
      <w:r>
        <w:rPr>
          <w:rFonts w:ascii="Arial" w:hAnsi="Arial" w:cs="Arial"/>
        </w:rPr>
        <w:br/>
      </w:r>
    </w:p>
    <w:p w14:paraId="2E36C42B" w14:textId="77777777" w:rsidR="0021302C" w:rsidRDefault="0021302C" w:rsidP="0021302C">
      <w:pPr>
        <w:widowControl/>
        <w:ind w:left="2160" w:hanging="720"/>
        <w:jc w:val="both"/>
        <w:outlineLvl w:val="2"/>
        <w:rPr>
          <w:rFonts w:ascii="Arial" w:hAnsi="Arial" w:cs="Arial"/>
        </w:rPr>
      </w:pPr>
      <w:bookmarkStart w:id="106" w:name="_Toc5886814"/>
      <w:bookmarkStart w:id="107" w:name="_Toc56076542"/>
      <w:r w:rsidRPr="00671E64">
        <w:rPr>
          <w:rFonts w:ascii="Arial" w:hAnsi="Arial" w:cs="Arial"/>
          <w:b/>
          <w:bCs/>
        </w:rPr>
        <w:t>(2)</w:t>
      </w:r>
      <w:r w:rsidRPr="00671E64">
        <w:rPr>
          <w:rFonts w:ascii="Arial" w:hAnsi="Arial" w:cs="Arial"/>
          <w:b/>
          <w:bCs/>
        </w:rPr>
        <w:tab/>
        <w:t>Eligibility.</w:t>
      </w:r>
      <w:bookmarkEnd w:id="106"/>
      <w:bookmarkEnd w:id="107"/>
      <w:r>
        <w:rPr>
          <w:rFonts w:ascii="Arial" w:hAnsi="Arial" w:cs="Arial"/>
          <w:b/>
          <w:bCs/>
        </w:rPr>
        <w:br/>
      </w:r>
    </w:p>
    <w:p w14:paraId="061065EA" w14:textId="77777777" w:rsidR="0021302C" w:rsidRPr="00671E64" w:rsidRDefault="0021302C" w:rsidP="0021302C">
      <w:pPr>
        <w:widowControl/>
        <w:ind w:left="2160"/>
        <w:jc w:val="both"/>
        <w:rPr>
          <w:rFonts w:ascii="Arial" w:hAnsi="Arial" w:cs="Arial"/>
        </w:rPr>
      </w:pPr>
      <w:r w:rsidRPr="00671E64">
        <w:rPr>
          <w:rFonts w:ascii="Arial" w:hAnsi="Arial" w:cs="Arial"/>
        </w:rPr>
        <w:t>To be eligible to appear and participate a law student must:</w:t>
      </w:r>
      <w:r>
        <w:rPr>
          <w:rFonts w:ascii="Arial" w:hAnsi="Arial" w:cs="Arial"/>
        </w:rPr>
        <w:br/>
      </w:r>
    </w:p>
    <w:p w14:paraId="3E226FA4"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 xml:space="preserve">be a student enrolled and in good standing in a law school approved by the American Bar Association. A law student is considered enrolled during the student's law school's summer </w:t>
      </w:r>
      <w:r w:rsidRPr="00671E64">
        <w:rPr>
          <w:rFonts w:ascii="Arial" w:hAnsi="Arial" w:cs="Arial"/>
        </w:rPr>
        <w:lastRenderedPageBreak/>
        <w:t>vacation after completion of the requirements of Nebraska General Rule 1.7(j)(2)(B);</w:t>
      </w:r>
      <w:r>
        <w:rPr>
          <w:rFonts w:ascii="Arial" w:hAnsi="Arial" w:cs="Arial"/>
        </w:rPr>
        <w:br/>
      </w:r>
    </w:p>
    <w:p w14:paraId="4A21B1CE"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have completed 4 semesters of legal study or the equivalent if the law school is not on a semester basis;</w:t>
      </w:r>
      <w:r>
        <w:rPr>
          <w:rFonts w:ascii="Arial" w:hAnsi="Arial" w:cs="Arial"/>
        </w:rPr>
        <w:br/>
      </w:r>
    </w:p>
    <w:p w14:paraId="09AF13C4"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file with the clerk:</w:t>
      </w:r>
      <w:r>
        <w:rPr>
          <w:rFonts w:ascii="Arial" w:hAnsi="Arial" w:cs="Arial"/>
        </w:rPr>
        <w:br/>
      </w:r>
    </w:p>
    <w:p w14:paraId="1C95F735" w14:textId="77777777" w:rsidR="0021302C" w:rsidRPr="002A4E72" w:rsidRDefault="0021302C" w:rsidP="0021302C">
      <w:pPr>
        <w:widowControl/>
        <w:ind w:left="3600" w:hanging="720"/>
        <w:jc w:val="both"/>
        <w:rPr>
          <w:rFonts w:ascii="Arial" w:hAnsi="Arial" w:cs="Arial"/>
        </w:rPr>
      </w:pPr>
      <w:r w:rsidRPr="002A4E72">
        <w:rPr>
          <w:rFonts w:ascii="Arial" w:hAnsi="Arial" w:cs="Arial"/>
        </w:rPr>
        <w:t>(i)</w:t>
      </w:r>
      <w:r w:rsidRPr="002A4E72">
        <w:rPr>
          <w:rFonts w:ascii="Arial" w:hAnsi="Arial" w:cs="Arial"/>
        </w:rPr>
        <w:tab/>
        <w:t>a law school dean</w:t>
      </w:r>
      <w:r w:rsidRPr="002A4E72">
        <w:rPr>
          <w:rFonts w:ascii="Arial" w:hAnsi="Arial" w:cs="Arial"/>
        </w:rPr>
        <w:sym w:font="WP TypographicSymbols" w:char="003D"/>
      </w:r>
      <w:r w:rsidRPr="002A4E72">
        <w:rPr>
          <w:rFonts w:ascii="Arial" w:hAnsi="Arial" w:cs="Arial"/>
        </w:rPr>
        <w:t>s certificate stating that the student is of good moral character, meets the requirements in Nebraska General Rule 1.7(j)(2)(A) and (B), and is qualified to serve as a legal intern. The certificate must be in a cour</w:t>
      </w:r>
      <w:r w:rsidRPr="00674F76">
        <w:rPr>
          <w:rFonts w:ascii="Arial" w:hAnsi="Arial" w:cs="Arial"/>
        </w:rPr>
        <w:t>t</w:t>
      </w:r>
      <w:r w:rsidRPr="005C6D1B">
        <w:rPr>
          <w:rFonts w:ascii="Arial" w:hAnsi="Arial" w:cs="Arial"/>
        </w:rPr>
        <w:t>-</w:t>
      </w:r>
      <w:r w:rsidRPr="00674F76">
        <w:rPr>
          <w:rFonts w:ascii="Arial" w:hAnsi="Arial" w:cs="Arial"/>
        </w:rPr>
        <w:t>a</w:t>
      </w:r>
      <w:r w:rsidRPr="002A4E72">
        <w:rPr>
          <w:rFonts w:ascii="Arial" w:hAnsi="Arial" w:cs="Arial"/>
        </w:rPr>
        <w:t>pproved form and is effective for 12 months after it is filed or until the student's graduation from law school, whichever is earlier;</w:t>
      </w:r>
    </w:p>
    <w:p w14:paraId="40397E27" w14:textId="77777777" w:rsidR="0021302C" w:rsidRPr="002A4E72" w:rsidRDefault="0021302C" w:rsidP="0021302C">
      <w:pPr>
        <w:widowControl/>
        <w:ind w:left="3600" w:hanging="720"/>
        <w:jc w:val="both"/>
        <w:rPr>
          <w:rFonts w:ascii="Arial" w:hAnsi="Arial" w:cs="Arial"/>
        </w:rPr>
      </w:pPr>
    </w:p>
    <w:p w14:paraId="78A96619" w14:textId="77777777" w:rsidR="0021302C" w:rsidRPr="002A4E72" w:rsidRDefault="0021302C" w:rsidP="0021302C">
      <w:pPr>
        <w:widowControl/>
        <w:ind w:left="3600" w:hanging="720"/>
        <w:jc w:val="both"/>
        <w:rPr>
          <w:rFonts w:ascii="Arial" w:hAnsi="Arial" w:cs="Arial"/>
        </w:rPr>
      </w:pPr>
      <w:r w:rsidRPr="002A4E72">
        <w:rPr>
          <w:rFonts w:ascii="Arial" w:hAnsi="Arial" w:cs="Arial"/>
        </w:rPr>
        <w:t>(ii)</w:t>
      </w:r>
      <w:r w:rsidRPr="002A4E72">
        <w:rPr>
          <w:rFonts w:ascii="Arial" w:hAnsi="Arial" w:cs="Arial"/>
        </w:rPr>
        <w:tab/>
        <w:t>a certificate in a court</w:t>
      </w:r>
      <w:r w:rsidRPr="00C474CA">
        <w:rPr>
          <w:rFonts w:ascii="Arial" w:hAnsi="Arial" w:cs="Arial"/>
        </w:rPr>
        <w:t>-</w:t>
      </w:r>
      <w:r w:rsidRPr="002A4E72">
        <w:rPr>
          <w:rFonts w:ascii="Arial" w:hAnsi="Arial" w:cs="Arial"/>
        </w:rPr>
        <w:t>approved form stating that the student has read and agrees to abide by this court’s rules, applicable ethical standards, and other relevant federal practice rules; and</w:t>
      </w:r>
      <w:r w:rsidRPr="002A4E72">
        <w:rPr>
          <w:rFonts w:ascii="Arial" w:hAnsi="Arial" w:cs="Arial"/>
        </w:rPr>
        <w:br/>
      </w:r>
    </w:p>
    <w:p w14:paraId="15BEB54F" w14:textId="77777777" w:rsidR="0021302C" w:rsidRPr="00671E64" w:rsidRDefault="0021302C" w:rsidP="0021302C">
      <w:pPr>
        <w:widowControl/>
        <w:ind w:left="3600" w:hanging="720"/>
        <w:jc w:val="both"/>
        <w:rPr>
          <w:rFonts w:ascii="Arial" w:hAnsi="Arial" w:cs="Arial"/>
        </w:rPr>
      </w:pPr>
      <w:r w:rsidRPr="002A4E72">
        <w:rPr>
          <w:rFonts w:ascii="Arial" w:hAnsi="Arial" w:cs="Arial"/>
        </w:rPr>
        <w:t>(iii)</w:t>
      </w:r>
      <w:r w:rsidRPr="002A4E72">
        <w:rPr>
          <w:rFonts w:ascii="Arial" w:hAnsi="Arial" w:cs="Arial"/>
        </w:rPr>
        <w:tab/>
        <w:t>a notice of appearance in each case in which the student participates or appears as a law student intern. The notice must be in a court</w:t>
      </w:r>
      <w:r w:rsidRPr="00CD3CC5">
        <w:rPr>
          <w:rFonts w:ascii="Arial" w:hAnsi="Arial" w:cs="Arial"/>
        </w:rPr>
        <w:t>-</w:t>
      </w:r>
      <w:r w:rsidRPr="002A4E72">
        <w:rPr>
          <w:rFonts w:ascii="Arial" w:hAnsi="Arial" w:cs="Arial"/>
        </w:rPr>
        <w:t>approved form and signed by the supervising attorney, the student intern, and the client or authorized representative;</w:t>
      </w:r>
      <w:r>
        <w:rPr>
          <w:rFonts w:ascii="Arial" w:hAnsi="Arial" w:cs="Arial"/>
        </w:rPr>
        <w:br/>
      </w:r>
    </w:p>
    <w:p w14:paraId="503E64A6" w14:textId="77777777" w:rsidR="0021302C" w:rsidRPr="00671E64" w:rsidRDefault="0021302C" w:rsidP="0021302C">
      <w:pPr>
        <w:widowControl/>
        <w:ind w:left="2880" w:hanging="720"/>
        <w:jc w:val="both"/>
        <w:rPr>
          <w:rFonts w:ascii="Arial" w:hAnsi="Arial" w:cs="Arial"/>
        </w:rPr>
      </w:pPr>
      <w:r w:rsidRPr="001E4F16">
        <w:rPr>
          <w:rFonts w:ascii="Arial" w:hAnsi="Arial" w:cs="Arial"/>
        </w:rPr>
        <w:t>(D)</w:t>
      </w:r>
      <w:r w:rsidRPr="00671E64">
        <w:rPr>
          <w:rFonts w:ascii="Arial" w:hAnsi="Arial" w:cs="Arial"/>
        </w:rPr>
        <w:tab/>
        <w:t>be introduced to the court in which the student appears by an attorney admitted to practice in this court; and</w:t>
      </w:r>
      <w:r>
        <w:rPr>
          <w:rFonts w:ascii="Arial" w:hAnsi="Arial" w:cs="Arial"/>
        </w:rPr>
        <w:br/>
      </w:r>
    </w:p>
    <w:p w14:paraId="04A8230D" w14:textId="77777777" w:rsidR="0021302C" w:rsidRPr="00671E64" w:rsidRDefault="0021302C" w:rsidP="0021302C">
      <w:pPr>
        <w:widowControl/>
        <w:ind w:left="2880" w:hanging="720"/>
        <w:jc w:val="both"/>
        <w:rPr>
          <w:rFonts w:ascii="Arial" w:hAnsi="Arial" w:cs="Arial"/>
        </w:rPr>
      </w:pPr>
      <w:r w:rsidRPr="001E4F16">
        <w:rPr>
          <w:rFonts w:ascii="Arial" w:hAnsi="Arial" w:cs="Arial"/>
        </w:rPr>
        <w:t>(E)</w:t>
      </w:r>
      <w:r w:rsidRPr="00671E64">
        <w:rPr>
          <w:rFonts w:ascii="Arial" w:hAnsi="Arial" w:cs="Arial"/>
        </w:rPr>
        <w:tab/>
        <w:t xml:space="preserve">receive the </w:t>
      </w:r>
      <w:r>
        <w:rPr>
          <w:rFonts w:ascii="Arial" w:hAnsi="Arial" w:cs="Arial"/>
        </w:rPr>
        <w:t xml:space="preserve">court’s </w:t>
      </w:r>
      <w:r w:rsidRPr="00671E64">
        <w:rPr>
          <w:rFonts w:ascii="Arial" w:hAnsi="Arial" w:cs="Arial"/>
        </w:rPr>
        <w:t>affirmative consent for the student to appear before it.</w:t>
      </w:r>
      <w:r>
        <w:rPr>
          <w:rFonts w:ascii="Arial" w:hAnsi="Arial" w:cs="Arial"/>
        </w:rPr>
        <w:br/>
      </w:r>
    </w:p>
    <w:p w14:paraId="41556F08" w14:textId="77777777" w:rsidR="0021302C" w:rsidRDefault="0021302C" w:rsidP="0021302C">
      <w:pPr>
        <w:widowControl/>
        <w:ind w:left="2160" w:hanging="720"/>
        <w:jc w:val="both"/>
        <w:outlineLvl w:val="2"/>
        <w:rPr>
          <w:rFonts w:ascii="Arial" w:hAnsi="Arial" w:cs="Arial"/>
        </w:rPr>
      </w:pPr>
      <w:bookmarkStart w:id="108" w:name="_Toc5886815"/>
      <w:bookmarkStart w:id="109" w:name="_Toc56076543"/>
      <w:r w:rsidRPr="00671E64">
        <w:rPr>
          <w:rFonts w:ascii="Arial" w:hAnsi="Arial" w:cs="Arial"/>
          <w:b/>
          <w:bCs/>
        </w:rPr>
        <w:t>(3)</w:t>
      </w:r>
      <w:r w:rsidRPr="00671E64">
        <w:rPr>
          <w:rFonts w:ascii="Arial" w:hAnsi="Arial" w:cs="Arial"/>
          <w:b/>
          <w:bCs/>
        </w:rPr>
        <w:tab/>
        <w:t>Restrictions.</w:t>
      </w:r>
      <w:bookmarkEnd w:id="108"/>
      <w:bookmarkEnd w:id="109"/>
      <w:r>
        <w:rPr>
          <w:rFonts w:ascii="Arial" w:hAnsi="Arial" w:cs="Arial"/>
          <w:b/>
          <w:bCs/>
        </w:rPr>
        <w:br/>
      </w:r>
    </w:p>
    <w:p w14:paraId="0591606C" w14:textId="77777777" w:rsidR="0021302C" w:rsidRPr="00671E64" w:rsidRDefault="0021302C" w:rsidP="0021302C">
      <w:pPr>
        <w:widowControl/>
        <w:ind w:left="2160"/>
        <w:jc w:val="both"/>
        <w:rPr>
          <w:rFonts w:ascii="Arial" w:hAnsi="Arial" w:cs="Arial"/>
        </w:rPr>
      </w:pPr>
      <w:r w:rsidRPr="00671E64">
        <w:rPr>
          <w:rFonts w:ascii="Arial" w:hAnsi="Arial" w:cs="Arial"/>
        </w:rPr>
        <w:t>A law student admitted under these rules may not:</w:t>
      </w:r>
      <w:r>
        <w:rPr>
          <w:rFonts w:ascii="Arial" w:hAnsi="Arial" w:cs="Arial"/>
        </w:rPr>
        <w:br/>
      </w:r>
    </w:p>
    <w:p w14:paraId="352CD2E5"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request or receive compensation or remuneration of any kind directly from the client. This restriction does not prevent the supervising attorney or the attorney</w:t>
      </w:r>
      <w:r w:rsidRPr="00671E64">
        <w:rPr>
          <w:rFonts w:ascii="Arial" w:hAnsi="Arial" w:cs="Arial"/>
        </w:rPr>
        <w:sym w:font="WP TypographicSymbols" w:char="003D"/>
      </w:r>
      <w:r w:rsidRPr="00671E64">
        <w:rPr>
          <w:rFonts w:ascii="Arial" w:hAnsi="Arial" w:cs="Arial"/>
        </w:rPr>
        <w:t>s law firm, a law school, a public defender, or any government agency from compensating the law student, or prevent any firm or agency from charging for its services as it may otherwise properly charge;</w:t>
      </w:r>
      <w:r>
        <w:rPr>
          <w:rFonts w:ascii="Arial" w:hAnsi="Arial" w:cs="Arial"/>
        </w:rPr>
        <w:br/>
      </w:r>
    </w:p>
    <w:p w14:paraId="13A375DC" w14:textId="77777777" w:rsidR="0021302C" w:rsidRPr="00671E64" w:rsidRDefault="0021302C" w:rsidP="0021302C">
      <w:pPr>
        <w:widowControl/>
        <w:ind w:left="2880" w:hanging="720"/>
        <w:jc w:val="both"/>
        <w:rPr>
          <w:rFonts w:ascii="Arial" w:hAnsi="Arial" w:cs="Arial"/>
        </w:rPr>
      </w:pPr>
      <w:r w:rsidRPr="001E4F16">
        <w:rPr>
          <w:rFonts w:ascii="Arial" w:hAnsi="Arial" w:cs="Arial"/>
        </w:rPr>
        <w:lastRenderedPageBreak/>
        <w:t>(B)</w:t>
      </w:r>
      <w:r w:rsidRPr="00671E64">
        <w:rPr>
          <w:rFonts w:ascii="Arial" w:hAnsi="Arial" w:cs="Arial"/>
        </w:rPr>
        <w:tab/>
        <w:t xml:space="preserve">appear in court without the supervising attorney; or </w:t>
      </w:r>
      <w:r>
        <w:rPr>
          <w:rFonts w:ascii="Arial" w:hAnsi="Arial" w:cs="Arial"/>
        </w:rPr>
        <w:br/>
      </w:r>
    </w:p>
    <w:p w14:paraId="00ED2429"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file any documents the student prepared that were not read, approved, and signed by the supervising attorney and cosigned by the student.</w:t>
      </w:r>
      <w:r>
        <w:rPr>
          <w:rFonts w:ascii="Arial" w:hAnsi="Arial" w:cs="Arial"/>
        </w:rPr>
        <w:br/>
      </w:r>
    </w:p>
    <w:p w14:paraId="2490E4F4" w14:textId="77777777" w:rsidR="0021302C" w:rsidRDefault="0021302C" w:rsidP="0021302C">
      <w:pPr>
        <w:widowControl/>
        <w:ind w:left="2160" w:hanging="720"/>
        <w:jc w:val="both"/>
        <w:outlineLvl w:val="2"/>
        <w:rPr>
          <w:rFonts w:ascii="Arial" w:hAnsi="Arial" w:cs="Arial"/>
        </w:rPr>
      </w:pPr>
      <w:bookmarkStart w:id="110" w:name="_Toc5886816"/>
      <w:bookmarkStart w:id="111" w:name="_Toc56076544"/>
      <w:r w:rsidRPr="00671E64">
        <w:rPr>
          <w:rFonts w:ascii="Arial" w:hAnsi="Arial" w:cs="Arial"/>
          <w:b/>
          <w:bCs/>
        </w:rPr>
        <w:t>(4)</w:t>
      </w:r>
      <w:r w:rsidRPr="00671E64">
        <w:rPr>
          <w:rFonts w:ascii="Arial" w:hAnsi="Arial" w:cs="Arial"/>
          <w:b/>
          <w:bCs/>
        </w:rPr>
        <w:tab/>
        <w:t>Notice.</w:t>
      </w:r>
      <w:bookmarkEnd w:id="110"/>
      <w:bookmarkEnd w:id="111"/>
      <w:r>
        <w:rPr>
          <w:rFonts w:ascii="Arial" w:hAnsi="Arial" w:cs="Arial"/>
          <w:b/>
          <w:bCs/>
        </w:rPr>
        <w:br/>
      </w:r>
    </w:p>
    <w:p w14:paraId="65AC36FC" w14:textId="77777777" w:rsidR="0021302C" w:rsidRPr="00671E64" w:rsidRDefault="0021302C" w:rsidP="0021302C">
      <w:pPr>
        <w:widowControl/>
        <w:ind w:left="2160"/>
        <w:jc w:val="both"/>
        <w:rPr>
          <w:rFonts w:ascii="Arial" w:hAnsi="Arial" w:cs="Arial"/>
        </w:rPr>
      </w:pPr>
      <w:r w:rsidRPr="00671E64">
        <w:rPr>
          <w:rFonts w:ascii="Arial" w:hAnsi="Arial" w:cs="Arial"/>
        </w:rPr>
        <w:t>A supervising attorney who intends to use a student attorney under this rule in a contested matter must notify the court and opposing counsel before the matter is scheduled to begin. If the court decides the student attorney</w:t>
      </w:r>
      <w:r w:rsidRPr="00671E64">
        <w:rPr>
          <w:rFonts w:ascii="Arial" w:hAnsi="Arial" w:cs="Arial"/>
        </w:rPr>
        <w:sym w:font="WP TypographicSymbols" w:char="003D"/>
      </w:r>
      <w:r w:rsidRPr="00671E64">
        <w:rPr>
          <w:rFonts w:ascii="Arial" w:hAnsi="Arial" w:cs="Arial"/>
        </w:rPr>
        <w:t>s participation would be inappropriate, the court will advise the supervising attorney and the student attorney may not appear.</w:t>
      </w:r>
      <w:r>
        <w:rPr>
          <w:rFonts w:ascii="Arial" w:hAnsi="Arial" w:cs="Arial"/>
        </w:rPr>
        <w:br/>
      </w:r>
    </w:p>
    <w:p w14:paraId="1AC65ECB" w14:textId="77777777" w:rsidR="0021302C" w:rsidRDefault="0021302C" w:rsidP="0021302C">
      <w:pPr>
        <w:widowControl/>
        <w:ind w:left="2160" w:hanging="720"/>
        <w:jc w:val="both"/>
        <w:outlineLvl w:val="2"/>
        <w:rPr>
          <w:rFonts w:ascii="Arial" w:hAnsi="Arial" w:cs="Arial"/>
        </w:rPr>
      </w:pPr>
      <w:bookmarkStart w:id="112" w:name="_Toc5886817"/>
      <w:bookmarkStart w:id="113" w:name="_Toc56076545"/>
      <w:r w:rsidRPr="00671E64">
        <w:rPr>
          <w:rFonts w:ascii="Arial" w:hAnsi="Arial" w:cs="Arial"/>
          <w:b/>
          <w:bCs/>
        </w:rPr>
        <w:t>(5)</w:t>
      </w:r>
      <w:r w:rsidRPr="00671E64">
        <w:rPr>
          <w:rFonts w:ascii="Arial" w:hAnsi="Arial" w:cs="Arial"/>
          <w:b/>
          <w:bCs/>
        </w:rPr>
        <w:tab/>
        <w:t>Termination.</w:t>
      </w:r>
      <w:bookmarkEnd w:id="112"/>
      <w:bookmarkEnd w:id="113"/>
      <w:r>
        <w:rPr>
          <w:rFonts w:ascii="Arial" w:hAnsi="Arial" w:cs="Arial"/>
          <w:b/>
          <w:bCs/>
        </w:rPr>
        <w:br/>
      </w:r>
    </w:p>
    <w:p w14:paraId="472F497E" w14:textId="77777777" w:rsidR="0021302C" w:rsidRPr="00671E64" w:rsidRDefault="0021302C" w:rsidP="0021302C">
      <w:pPr>
        <w:widowControl/>
        <w:ind w:left="2160"/>
        <w:jc w:val="both"/>
        <w:rPr>
          <w:rFonts w:ascii="Arial" w:hAnsi="Arial" w:cs="Arial"/>
        </w:rPr>
      </w:pPr>
      <w:r w:rsidRPr="00671E64">
        <w:rPr>
          <w:rFonts w:ascii="Arial" w:hAnsi="Arial" w:cs="Arial"/>
        </w:rPr>
        <w:t>A student attorney</w:t>
      </w:r>
      <w:r w:rsidRPr="00671E64">
        <w:rPr>
          <w:rFonts w:ascii="Arial" w:hAnsi="Arial" w:cs="Arial"/>
        </w:rPr>
        <w:sym w:font="WP TypographicSymbols" w:char="003D"/>
      </w:r>
      <w:r w:rsidRPr="00671E64">
        <w:rPr>
          <w:rFonts w:ascii="Arial" w:hAnsi="Arial" w:cs="Arial"/>
        </w:rPr>
        <w:t>s certification terminates if the student attorney (A) does not take the first bar examination after graduation, (B) takes the examination and fails it, or (C) is admitted to full practice before this court. The student attorney</w:t>
      </w:r>
      <w:r w:rsidRPr="00671E64">
        <w:rPr>
          <w:rFonts w:ascii="Arial" w:hAnsi="Arial" w:cs="Arial"/>
        </w:rPr>
        <w:sym w:font="WP TypographicSymbols" w:char="003D"/>
      </w:r>
      <w:r w:rsidRPr="00671E64">
        <w:rPr>
          <w:rFonts w:ascii="Arial" w:hAnsi="Arial" w:cs="Arial"/>
        </w:rPr>
        <w:t>s law school dean or the supervising attorney may withdraw the certification at any time by submitting a notice to the clerk. The notice need not state the cause for the withdrawal. A judge may also terminate a student attorney</w:t>
      </w:r>
      <w:r w:rsidRPr="00671E64">
        <w:rPr>
          <w:rFonts w:ascii="Arial" w:hAnsi="Arial" w:cs="Arial"/>
        </w:rPr>
        <w:sym w:font="WP TypographicSymbols" w:char="003D"/>
      </w:r>
      <w:r w:rsidRPr="00671E64">
        <w:rPr>
          <w:rFonts w:ascii="Arial" w:hAnsi="Arial" w:cs="Arial"/>
        </w:rPr>
        <w:t>s admission to limited practice at any time without notice, hearing, or showing of cause.</w:t>
      </w:r>
      <w:r>
        <w:rPr>
          <w:rFonts w:ascii="Arial" w:hAnsi="Arial" w:cs="Arial"/>
        </w:rPr>
        <w:br/>
      </w:r>
    </w:p>
    <w:p w14:paraId="7C234601" w14:textId="77777777" w:rsidR="0021302C" w:rsidRDefault="0021302C" w:rsidP="0021302C">
      <w:pPr>
        <w:widowControl/>
        <w:ind w:left="2160" w:hanging="720"/>
        <w:jc w:val="both"/>
        <w:outlineLvl w:val="2"/>
        <w:rPr>
          <w:rFonts w:ascii="Arial" w:hAnsi="Arial" w:cs="Arial"/>
        </w:rPr>
      </w:pPr>
      <w:bookmarkStart w:id="114" w:name="_Toc5886818"/>
      <w:bookmarkStart w:id="115" w:name="_Toc56076546"/>
      <w:r w:rsidRPr="00671E64">
        <w:rPr>
          <w:rFonts w:ascii="Arial" w:hAnsi="Arial" w:cs="Arial"/>
          <w:b/>
          <w:bCs/>
        </w:rPr>
        <w:t>(6)</w:t>
      </w:r>
      <w:r w:rsidRPr="00671E64">
        <w:rPr>
          <w:rFonts w:ascii="Arial" w:hAnsi="Arial" w:cs="Arial"/>
          <w:b/>
          <w:bCs/>
        </w:rPr>
        <w:tab/>
        <w:t>Supervising Attorney.</w:t>
      </w:r>
      <w:bookmarkEnd w:id="114"/>
      <w:bookmarkEnd w:id="115"/>
      <w:r>
        <w:rPr>
          <w:rFonts w:ascii="Arial" w:hAnsi="Arial" w:cs="Arial"/>
          <w:b/>
          <w:bCs/>
        </w:rPr>
        <w:br/>
      </w:r>
    </w:p>
    <w:p w14:paraId="70418F65" w14:textId="77777777" w:rsidR="0021302C" w:rsidRPr="00671E64" w:rsidRDefault="0021302C" w:rsidP="0021302C">
      <w:pPr>
        <w:widowControl/>
        <w:ind w:left="2160"/>
        <w:jc w:val="both"/>
        <w:rPr>
          <w:rFonts w:ascii="Arial" w:hAnsi="Arial" w:cs="Arial"/>
        </w:rPr>
      </w:pPr>
      <w:r w:rsidRPr="00671E64">
        <w:rPr>
          <w:rFonts w:ascii="Arial" w:hAnsi="Arial" w:cs="Arial"/>
        </w:rPr>
        <w:t>Any person acting as a supervising attorney under this rule must be admitted to practice in this court and must also:</w:t>
      </w:r>
      <w:r>
        <w:rPr>
          <w:rFonts w:ascii="Arial" w:hAnsi="Arial" w:cs="Arial"/>
        </w:rPr>
        <w:br/>
      </w:r>
    </w:p>
    <w:p w14:paraId="1E26F96C" w14:textId="77777777" w:rsidR="0021302C" w:rsidRPr="00671E64" w:rsidRDefault="0021302C" w:rsidP="0021302C">
      <w:pPr>
        <w:widowControl/>
        <w:ind w:left="2880" w:hanging="720"/>
        <w:jc w:val="both"/>
        <w:rPr>
          <w:rFonts w:ascii="Arial" w:hAnsi="Arial" w:cs="Arial"/>
        </w:rPr>
      </w:pPr>
      <w:r w:rsidRPr="001E4F16">
        <w:rPr>
          <w:rFonts w:ascii="Arial" w:hAnsi="Arial" w:cs="Arial"/>
        </w:rPr>
        <w:t>(A)</w:t>
      </w:r>
      <w:r w:rsidRPr="00671E64">
        <w:rPr>
          <w:rFonts w:ascii="Arial" w:hAnsi="Arial" w:cs="Arial"/>
        </w:rPr>
        <w:tab/>
        <w:t>assume personal professional responsibility for the conduct of the student being supervised;</w:t>
      </w:r>
      <w:r>
        <w:rPr>
          <w:rFonts w:ascii="Arial" w:hAnsi="Arial" w:cs="Arial"/>
        </w:rPr>
        <w:br/>
      </w:r>
    </w:p>
    <w:p w14:paraId="583B7515" w14:textId="77777777" w:rsidR="0021302C" w:rsidRPr="00671E64" w:rsidRDefault="0021302C" w:rsidP="0021302C">
      <w:pPr>
        <w:widowControl/>
        <w:ind w:left="2880" w:hanging="720"/>
        <w:jc w:val="both"/>
        <w:rPr>
          <w:rFonts w:ascii="Arial" w:hAnsi="Arial" w:cs="Arial"/>
        </w:rPr>
      </w:pPr>
      <w:r w:rsidRPr="001E4F16">
        <w:rPr>
          <w:rFonts w:ascii="Arial" w:hAnsi="Arial" w:cs="Arial"/>
        </w:rPr>
        <w:t>(B)</w:t>
      </w:r>
      <w:r w:rsidRPr="00671E64">
        <w:rPr>
          <w:rFonts w:ascii="Arial" w:hAnsi="Arial" w:cs="Arial"/>
        </w:rPr>
        <w:tab/>
        <w:t>cosign all documents prepared by the student;</w:t>
      </w:r>
      <w:r>
        <w:rPr>
          <w:rFonts w:ascii="Arial" w:hAnsi="Arial" w:cs="Arial"/>
        </w:rPr>
        <w:br/>
      </w:r>
    </w:p>
    <w:p w14:paraId="7C078017" w14:textId="77777777" w:rsidR="0021302C" w:rsidRPr="00671E64" w:rsidRDefault="0021302C" w:rsidP="0021302C">
      <w:pPr>
        <w:widowControl/>
        <w:ind w:left="2880" w:hanging="720"/>
        <w:jc w:val="both"/>
        <w:rPr>
          <w:rFonts w:ascii="Arial" w:hAnsi="Arial" w:cs="Arial"/>
        </w:rPr>
      </w:pPr>
      <w:r w:rsidRPr="001E4F16">
        <w:rPr>
          <w:rFonts w:ascii="Arial" w:hAnsi="Arial" w:cs="Arial"/>
        </w:rPr>
        <w:t>(C)</w:t>
      </w:r>
      <w:r w:rsidRPr="00671E64">
        <w:rPr>
          <w:rFonts w:ascii="Arial" w:hAnsi="Arial" w:cs="Arial"/>
        </w:rPr>
        <w:tab/>
        <w:t>advise the court of the student's participation under Nebraska General Rule 1.7(j)(4), be present with the student at all times in court, and be prepared to supplement oral or written work of the student as the court requests or as necessary to ensure the client</w:t>
      </w:r>
      <w:r w:rsidRPr="00671E64">
        <w:rPr>
          <w:rFonts w:ascii="Arial" w:hAnsi="Arial" w:cs="Arial"/>
        </w:rPr>
        <w:sym w:font="WP TypographicSymbols" w:char="003D"/>
      </w:r>
      <w:r w:rsidRPr="00671E64">
        <w:rPr>
          <w:rFonts w:ascii="Arial" w:hAnsi="Arial" w:cs="Arial"/>
        </w:rPr>
        <w:t>s proper representation; and</w:t>
      </w:r>
      <w:r>
        <w:rPr>
          <w:rFonts w:ascii="Arial" w:hAnsi="Arial" w:cs="Arial"/>
        </w:rPr>
        <w:br/>
      </w:r>
    </w:p>
    <w:p w14:paraId="46AA3D6F" w14:textId="46C9EDEA" w:rsidR="002964AB" w:rsidRPr="0021302C" w:rsidRDefault="0021302C" w:rsidP="0021302C">
      <w:pPr>
        <w:ind w:left="2880" w:hanging="720"/>
      </w:pPr>
      <w:r w:rsidRPr="001E4F16">
        <w:rPr>
          <w:rFonts w:ascii="Arial" w:hAnsi="Arial" w:cs="Arial"/>
        </w:rPr>
        <w:t>(D)</w:t>
      </w:r>
      <w:r w:rsidRPr="00671E64">
        <w:rPr>
          <w:rFonts w:ascii="Arial" w:hAnsi="Arial" w:cs="Arial"/>
        </w:rPr>
        <w:tab/>
        <w:t>be available for client consultation.</w:t>
      </w:r>
    </w:p>
    <w:sectPr w:rsidR="002964AB" w:rsidRPr="0021302C" w:rsidSect="002964AB">
      <w:headerReference w:type="default" r:id="rId12"/>
      <w:type w:val="continuous"/>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803CB" w14:textId="77777777" w:rsidR="005C6D1B" w:rsidRDefault="005C6D1B" w:rsidP="002964AB">
      <w:r>
        <w:separator/>
      </w:r>
    </w:p>
  </w:endnote>
  <w:endnote w:type="continuationSeparator" w:id="0">
    <w:p w14:paraId="7C7F2E46" w14:textId="77777777" w:rsidR="005C6D1B" w:rsidRDefault="005C6D1B" w:rsidP="0029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5158D0" w14:textId="77777777" w:rsidR="005C6D1B" w:rsidRDefault="005C6D1B" w:rsidP="002964AB">
      <w:r>
        <w:separator/>
      </w:r>
    </w:p>
  </w:footnote>
  <w:footnote w:type="continuationSeparator" w:id="0">
    <w:p w14:paraId="606901AF" w14:textId="77777777" w:rsidR="005C6D1B" w:rsidRDefault="005C6D1B" w:rsidP="0029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5CFCC" w14:textId="66F8D6D5"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General Rules of the United States District Court for the District of Nebraska (“</w:t>
    </w:r>
    <w:hyperlink r:id="rId1" w:history="1">
      <w:r w:rsidRPr="00393BC1">
        <w:rPr>
          <w:rFonts w:ascii="Arial" w:eastAsia="Calibri" w:hAnsi="Arial"/>
          <w:color w:val="0000FF"/>
          <w:sz w:val="20"/>
          <w:szCs w:val="20"/>
          <w:u w:val="single"/>
        </w:rPr>
        <w:t>Nebraska General Rules</w:t>
      </w:r>
    </w:hyperlink>
    <w:r w:rsidRPr="00393BC1">
      <w:rPr>
        <w:rFonts w:ascii="Arial" w:eastAsia="Calibri" w:hAnsi="Arial"/>
        <w:sz w:val="20"/>
        <w:szCs w:val="20"/>
      </w:rPr>
      <w:t>”)</w:t>
    </w:r>
  </w:p>
  <w:p w14:paraId="50E169F9" w14:textId="5E3050C0" w:rsidR="00DA2A57" w:rsidRPr="00393BC1" w:rsidRDefault="00DA2A57" w:rsidP="00DA2A57">
    <w:pPr>
      <w:tabs>
        <w:tab w:val="center" w:pos="4680"/>
        <w:tab w:val="right" w:pos="9360"/>
      </w:tabs>
      <w:jc w:val="right"/>
      <w:rPr>
        <w:rFonts w:ascii="Arial" w:eastAsia="Calibri" w:hAnsi="Arial"/>
        <w:sz w:val="20"/>
        <w:szCs w:val="20"/>
      </w:rPr>
    </w:pPr>
    <w:r w:rsidRPr="00393BC1">
      <w:rPr>
        <w:rFonts w:ascii="Arial" w:eastAsia="Calibri" w:hAnsi="Arial"/>
        <w:sz w:val="20"/>
        <w:szCs w:val="20"/>
      </w:rPr>
      <w:t>Effective December 1, 20</w:t>
    </w:r>
    <w:r w:rsidR="0070792E">
      <w:rPr>
        <w:rFonts w:ascii="Arial" w:eastAsia="Calibri" w:hAnsi="Arial"/>
        <w:sz w:val="20"/>
        <w:szCs w:val="20"/>
      </w:rPr>
      <w:t>2</w:t>
    </w:r>
    <w:r w:rsidR="00FD56B4">
      <w:rPr>
        <w:rFonts w:ascii="Arial" w:eastAsia="Calibri" w:hAnsi="Arial"/>
        <w:sz w:val="20"/>
        <w:szCs w:val="20"/>
      </w:rPr>
      <w:t>1</w:t>
    </w:r>
  </w:p>
  <w:p w14:paraId="5D148C28" w14:textId="77777777" w:rsidR="005C6D1B" w:rsidRDefault="005C6D1B">
    <w:pPr>
      <w:spacing w:line="312" w:lineRule="exact"/>
      <w:rPr>
        <w:rFonts w:ascii="Microsoft Uighur" w:hAnsi="Microsoft Uighur" w:cs="Microsoft Uighu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12D0011A"/>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_"/>
      <w:lvlJc w:val="left"/>
    </w:lvl>
    <w:lvl w:ilvl="1">
      <w:start w:val="1"/>
      <w:numFmt w:val="decimal"/>
      <w:lvlText w:val="%1_%2_"/>
      <w:lvlJc w:val="left"/>
    </w:lvl>
    <w:lvl w:ilvl="2">
      <w:start w:val="1"/>
      <w:numFmt w:val="lowerLetter"/>
      <w:lvlText w:val="(%3)"/>
      <w:lvlJc w:val="left"/>
    </w:lvl>
    <w:lvl w:ilvl="3">
      <w:start w:val="1"/>
      <w:numFmt w:val="decimal"/>
      <w:lvlText w:val="(%4)"/>
      <w:lvlJc w:val="left"/>
    </w:lvl>
    <w:lvl w:ilvl="4">
      <w:start w:val="1"/>
      <w:numFmt w:val="lowerRoman"/>
      <w:lvlText w:val="(%5)"/>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0000002"/>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6A7556D"/>
    <w:multiLevelType w:val="hybridMultilevel"/>
    <w:tmpl w:val="E8048B9A"/>
    <w:lvl w:ilvl="0" w:tplc="E174997E">
      <w:start w:val="3"/>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56AB9"/>
    <w:multiLevelType w:val="hybridMultilevel"/>
    <w:tmpl w:val="324041E6"/>
    <w:lvl w:ilvl="0" w:tplc="EF7ABD64">
      <w:start w:val="2"/>
      <w:numFmt w:val="decimal"/>
      <w:lvlText w:val="(%1)"/>
      <w:lvlJc w:val="left"/>
      <w:pPr>
        <w:ind w:left="28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A4A14"/>
    <w:multiLevelType w:val="hybridMultilevel"/>
    <w:tmpl w:val="AE267E38"/>
    <w:lvl w:ilvl="0" w:tplc="B09A72C4">
      <w:start w:val="3"/>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FC59D7"/>
    <w:multiLevelType w:val="hybridMultilevel"/>
    <w:tmpl w:val="AED0D886"/>
    <w:lvl w:ilvl="0" w:tplc="875671C6">
      <w:start w:val="5"/>
      <w:numFmt w:val="lowerLetter"/>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020D8"/>
    <w:multiLevelType w:val="hybridMultilevel"/>
    <w:tmpl w:val="8D98AA1A"/>
    <w:lvl w:ilvl="0" w:tplc="3A9E13B2">
      <w:start w:val="1"/>
      <w:numFmt w:val="decimal"/>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4BF7564"/>
    <w:multiLevelType w:val="hybridMultilevel"/>
    <w:tmpl w:val="5294854E"/>
    <w:lvl w:ilvl="0" w:tplc="71567A68">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4DA77D2"/>
    <w:multiLevelType w:val="hybridMultilevel"/>
    <w:tmpl w:val="9EC68126"/>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FE1E14"/>
    <w:multiLevelType w:val="hybridMultilevel"/>
    <w:tmpl w:val="AF6EB1BA"/>
    <w:lvl w:ilvl="0" w:tplc="A9FC9BA0">
      <w:start w:val="1"/>
      <w:numFmt w:val="decimal"/>
      <w:lvlText w:val="(%1)"/>
      <w:lvlJc w:val="left"/>
      <w:pPr>
        <w:ind w:left="2160" w:hanging="720"/>
      </w:pPr>
      <w:rPr>
        <w:rFonts w:ascii="Arial" w:hAnsi="Arial" w:cs="Arial"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112F17"/>
    <w:multiLevelType w:val="hybridMultilevel"/>
    <w:tmpl w:val="5108FAC8"/>
    <w:lvl w:ilvl="0" w:tplc="563239A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358A33C6"/>
    <w:multiLevelType w:val="hybridMultilevel"/>
    <w:tmpl w:val="0EDA3A3C"/>
    <w:lvl w:ilvl="0" w:tplc="67268F46">
      <w:start w:val="4"/>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3B6B2F8B"/>
    <w:multiLevelType w:val="hybridMultilevel"/>
    <w:tmpl w:val="D4AC8384"/>
    <w:lvl w:ilvl="0" w:tplc="F074397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CA4331"/>
    <w:multiLevelType w:val="hybridMultilevel"/>
    <w:tmpl w:val="3EEEB988"/>
    <w:lvl w:ilvl="0" w:tplc="498ABDFE">
      <w:start w:val="1"/>
      <w:numFmt w:val="lowerRoman"/>
      <w:lvlText w:val="(%1)"/>
      <w:lvlJc w:val="left"/>
      <w:pPr>
        <w:ind w:left="3600" w:hanging="72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494D5029"/>
    <w:multiLevelType w:val="hybridMultilevel"/>
    <w:tmpl w:val="194005F2"/>
    <w:lvl w:ilvl="0" w:tplc="EA4E765C">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B50081E"/>
    <w:multiLevelType w:val="hybridMultilevel"/>
    <w:tmpl w:val="ABDCB268"/>
    <w:lvl w:ilvl="0" w:tplc="045EC8DE">
      <w:start w:val="1"/>
      <w:numFmt w:val="upperLetter"/>
      <w:lvlText w:val="(%1)"/>
      <w:lvlJc w:val="left"/>
      <w:pPr>
        <w:ind w:left="2880" w:hanging="720"/>
      </w:pPr>
      <w:rPr>
        <w:rFonts w:hint="default"/>
        <w:b/>
      </w:rPr>
    </w:lvl>
    <w:lvl w:ilvl="1" w:tplc="BBD430F0">
      <w:start w:val="1"/>
      <w:numFmt w:val="decimal"/>
      <w:lvlText w:val="(%2)"/>
      <w:lvlJc w:val="left"/>
      <w:pPr>
        <w:ind w:left="3600" w:hanging="720"/>
      </w:pPr>
      <w:rPr>
        <w:rFonts w:hint="default"/>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F0E00C5"/>
    <w:multiLevelType w:val="hybridMultilevel"/>
    <w:tmpl w:val="9BF0DB3E"/>
    <w:lvl w:ilvl="0" w:tplc="8B6087BE">
      <w:start w:val="1"/>
      <w:numFmt w:val="lowerLetter"/>
      <w:lvlText w:val="(%1)"/>
      <w:lvlJc w:val="left"/>
      <w:pPr>
        <w:ind w:left="153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F16179"/>
    <w:multiLevelType w:val="hybridMultilevel"/>
    <w:tmpl w:val="BA68A5A8"/>
    <w:lvl w:ilvl="0" w:tplc="AE6ACE88">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A1333DB"/>
    <w:multiLevelType w:val="hybridMultilevel"/>
    <w:tmpl w:val="FF48004E"/>
    <w:lvl w:ilvl="0" w:tplc="0E149774">
      <w:start w:val="1"/>
      <w:numFmt w:val="upperLetter"/>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CD911C7"/>
    <w:multiLevelType w:val="hybridMultilevel"/>
    <w:tmpl w:val="672C6660"/>
    <w:lvl w:ilvl="0" w:tplc="331E4ED4">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D860329"/>
    <w:multiLevelType w:val="hybridMultilevel"/>
    <w:tmpl w:val="257452A0"/>
    <w:lvl w:ilvl="0" w:tplc="8C201F46">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DF42FD"/>
    <w:multiLevelType w:val="hybridMultilevel"/>
    <w:tmpl w:val="2376AA6A"/>
    <w:lvl w:ilvl="0" w:tplc="59FEDF06">
      <w:start w:val="4"/>
      <w:numFmt w:val="lowerRoman"/>
      <w:lvlText w:val="(%1)"/>
      <w:lvlJc w:val="left"/>
      <w:pPr>
        <w:ind w:left="360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ED767C"/>
    <w:multiLevelType w:val="hybridMultilevel"/>
    <w:tmpl w:val="3E0A810A"/>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BE6250"/>
    <w:multiLevelType w:val="hybridMultilevel"/>
    <w:tmpl w:val="A77CBC2E"/>
    <w:lvl w:ilvl="0" w:tplc="2062A03E">
      <w:start w:val="1"/>
      <w:numFmt w:val="low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15077D"/>
    <w:multiLevelType w:val="hybridMultilevel"/>
    <w:tmpl w:val="2AF44FE0"/>
    <w:lvl w:ilvl="0" w:tplc="2062A0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1F6846"/>
    <w:multiLevelType w:val="hybridMultilevel"/>
    <w:tmpl w:val="10E44EF4"/>
    <w:lvl w:ilvl="0" w:tplc="5282CA36">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lvl w:ilvl="0">
        <w:numFmt w:val="bullet"/>
        <w:lvlText w:val="$"/>
        <w:legacy w:legacy="1" w:legacySpace="0" w:legacyIndent="720"/>
        <w:lvlJc w:val="left"/>
        <w:pPr>
          <w:ind w:left="2166" w:hanging="720"/>
        </w:pPr>
        <w:rPr>
          <w:rFonts w:ascii="WP TypographicSymbols" w:hAnsi="WP TypographicSymbols" w:hint="default"/>
        </w:rPr>
      </w:lvl>
    </w:lvlOverride>
  </w:num>
  <w:num w:numId="2">
    <w:abstractNumId w:val="25"/>
  </w:num>
  <w:num w:numId="3">
    <w:abstractNumId w:val="9"/>
  </w:num>
  <w:num w:numId="4">
    <w:abstractNumId w:val="19"/>
  </w:num>
  <w:num w:numId="5">
    <w:abstractNumId w:val="22"/>
  </w:num>
  <w:num w:numId="6">
    <w:abstractNumId w:val="11"/>
  </w:num>
  <w:num w:numId="7">
    <w:abstractNumId w:val="16"/>
  </w:num>
  <w:num w:numId="8">
    <w:abstractNumId w:val="15"/>
  </w:num>
  <w:num w:numId="9">
    <w:abstractNumId w:val="20"/>
  </w:num>
  <w:num w:numId="10">
    <w:abstractNumId w:val="28"/>
  </w:num>
  <w:num w:numId="11">
    <w:abstractNumId w:val="13"/>
  </w:num>
  <w:num w:numId="12">
    <w:abstractNumId w:val="10"/>
  </w:num>
  <w:num w:numId="13">
    <w:abstractNumId w:val="21"/>
  </w:num>
  <w:num w:numId="14">
    <w:abstractNumId w:val="12"/>
  </w:num>
  <w:num w:numId="15">
    <w:abstractNumId w:val="27"/>
  </w:num>
  <w:num w:numId="16">
    <w:abstractNumId w:val="14"/>
  </w:num>
  <w:num w:numId="17">
    <w:abstractNumId w:val="23"/>
  </w:num>
  <w:num w:numId="18">
    <w:abstractNumId w:val="17"/>
  </w:num>
  <w:num w:numId="19">
    <w:abstractNumId w:val="18"/>
  </w:num>
  <w:num w:numId="20">
    <w:abstractNumId w:val="24"/>
  </w:num>
  <w:num w:numId="21">
    <w:abstractNumId w:val="7"/>
  </w:num>
  <w:num w:numId="22">
    <w:abstractNumId w:val="26"/>
  </w:num>
  <w:num w:numId="23">
    <w:abstractNumId w:val="5"/>
  </w:num>
  <w:num w:numId="24">
    <w:abstractNumId w:val="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7825"/>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4AB"/>
    <w:rsid w:val="00000559"/>
    <w:rsid w:val="00003B7F"/>
    <w:rsid w:val="0001185D"/>
    <w:rsid w:val="00017972"/>
    <w:rsid w:val="00017ADF"/>
    <w:rsid w:val="00020C39"/>
    <w:rsid w:val="00050F1F"/>
    <w:rsid w:val="0005501A"/>
    <w:rsid w:val="00056909"/>
    <w:rsid w:val="000600CC"/>
    <w:rsid w:val="000640DD"/>
    <w:rsid w:val="0007567D"/>
    <w:rsid w:val="00083DCE"/>
    <w:rsid w:val="00084C15"/>
    <w:rsid w:val="0008573B"/>
    <w:rsid w:val="000C381D"/>
    <w:rsid w:val="000D20DA"/>
    <w:rsid w:val="000D4D8A"/>
    <w:rsid w:val="000E3AB1"/>
    <w:rsid w:val="000E677D"/>
    <w:rsid w:val="000E79DF"/>
    <w:rsid w:val="000E7C8C"/>
    <w:rsid w:val="00112A02"/>
    <w:rsid w:val="00114AB7"/>
    <w:rsid w:val="00115A16"/>
    <w:rsid w:val="0012410A"/>
    <w:rsid w:val="00125337"/>
    <w:rsid w:val="00127950"/>
    <w:rsid w:val="001505FC"/>
    <w:rsid w:val="00151AD5"/>
    <w:rsid w:val="001600EC"/>
    <w:rsid w:val="00172D39"/>
    <w:rsid w:val="00176CCB"/>
    <w:rsid w:val="001778D1"/>
    <w:rsid w:val="00180136"/>
    <w:rsid w:val="00192FDC"/>
    <w:rsid w:val="00195064"/>
    <w:rsid w:val="001A251C"/>
    <w:rsid w:val="001B7104"/>
    <w:rsid w:val="001D1BF0"/>
    <w:rsid w:val="001D36F3"/>
    <w:rsid w:val="001E0D63"/>
    <w:rsid w:val="001E4F16"/>
    <w:rsid w:val="001E67F9"/>
    <w:rsid w:val="002022F7"/>
    <w:rsid w:val="002034F0"/>
    <w:rsid w:val="00205A9C"/>
    <w:rsid w:val="0021302C"/>
    <w:rsid w:val="00213F3F"/>
    <w:rsid w:val="00227CC0"/>
    <w:rsid w:val="0023318A"/>
    <w:rsid w:val="002453FC"/>
    <w:rsid w:val="0025550B"/>
    <w:rsid w:val="00262C71"/>
    <w:rsid w:val="0027312F"/>
    <w:rsid w:val="0027779D"/>
    <w:rsid w:val="00277C98"/>
    <w:rsid w:val="002964AB"/>
    <w:rsid w:val="002A4D82"/>
    <w:rsid w:val="002A4E72"/>
    <w:rsid w:val="002D4B00"/>
    <w:rsid w:val="002E1A5C"/>
    <w:rsid w:val="002E3DEF"/>
    <w:rsid w:val="002F20D5"/>
    <w:rsid w:val="003076C7"/>
    <w:rsid w:val="00313D1A"/>
    <w:rsid w:val="00315172"/>
    <w:rsid w:val="00317112"/>
    <w:rsid w:val="00352C7E"/>
    <w:rsid w:val="003538F8"/>
    <w:rsid w:val="00365676"/>
    <w:rsid w:val="00372FEA"/>
    <w:rsid w:val="003837C3"/>
    <w:rsid w:val="003863B7"/>
    <w:rsid w:val="00394DE3"/>
    <w:rsid w:val="003B33B4"/>
    <w:rsid w:val="003B3CD5"/>
    <w:rsid w:val="003C6A07"/>
    <w:rsid w:val="003C7977"/>
    <w:rsid w:val="003D13DA"/>
    <w:rsid w:val="003D1AEC"/>
    <w:rsid w:val="003D2C59"/>
    <w:rsid w:val="003F0C3F"/>
    <w:rsid w:val="003F647F"/>
    <w:rsid w:val="00405A63"/>
    <w:rsid w:val="00415A1F"/>
    <w:rsid w:val="00430353"/>
    <w:rsid w:val="004308A6"/>
    <w:rsid w:val="00430AF3"/>
    <w:rsid w:val="004358BF"/>
    <w:rsid w:val="00442C56"/>
    <w:rsid w:val="0044770B"/>
    <w:rsid w:val="00447D1D"/>
    <w:rsid w:val="00463372"/>
    <w:rsid w:val="004736A3"/>
    <w:rsid w:val="004741D3"/>
    <w:rsid w:val="004776DF"/>
    <w:rsid w:val="00483C01"/>
    <w:rsid w:val="004A2CCD"/>
    <w:rsid w:val="004B3E75"/>
    <w:rsid w:val="004C2187"/>
    <w:rsid w:val="004C3547"/>
    <w:rsid w:val="004D56E1"/>
    <w:rsid w:val="004D6C59"/>
    <w:rsid w:val="004F0317"/>
    <w:rsid w:val="004F2B7E"/>
    <w:rsid w:val="004F2EF7"/>
    <w:rsid w:val="00510720"/>
    <w:rsid w:val="005108BB"/>
    <w:rsid w:val="005166ED"/>
    <w:rsid w:val="0052037F"/>
    <w:rsid w:val="005237A8"/>
    <w:rsid w:val="0054034F"/>
    <w:rsid w:val="005417F6"/>
    <w:rsid w:val="00547989"/>
    <w:rsid w:val="00555B7B"/>
    <w:rsid w:val="00556A67"/>
    <w:rsid w:val="0058007E"/>
    <w:rsid w:val="00580346"/>
    <w:rsid w:val="00581B5E"/>
    <w:rsid w:val="00584431"/>
    <w:rsid w:val="00587054"/>
    <w:rsid w:val="00590495"/>
    <w:rsid w:val="005965E4"/>
    <w:rsid w:val="005A2687"/>
    <w:rsid w:val="005A35D3"/>
    <w:rsid w:val="005C0174"/>
    <w:rsid w:val="005C3F1D"/>
    <w:rsid w:val="005C6D1B"/>
    <w:rsid w:val="005D627F"/>
    <w:rsid w:val="005F3FE3"/>
    <w:rsid w:val="0060322E"/>
    <w:rsid w:val="006127E8"/>
    <w:rsid w:val="006137C0"/>
    <w:rsid w:val="00625C33"/>
    <w:rsid w:val="00632C7A"/>
    <w:rsid w:val="00634F4E"/>
    <w:rsid w:val="00644C4D"/>
    <w:rsid w:val="0065490F"/>
    <w:rsid w:val="006600BE"/>
    <w:rsid w:val="00667F23"/>
    <w:rsid w:val="00671E64"/>
    <w:rsid w:val="00672738"/>
    <w:rsid w:val="00674F76"/>
    <w:rsid w:val="00676AD3"/>
    <w:rsid w:val="00686AEB"/>
    <w:rsid w:val="00691838"/>
    <w:rsid w:val="006940CE"/>
    <w:rsid w:val="006962D6"/>
    <w:rsid w:val="006A1539"/>
    <w:rsid w:val="006A159F"/>
    <w:rsid w:val="006A2EDE"/>
    <w:rsid w:val="006B0EA0"/>
    <w:rsid w:val="006B2C9A"/>
    <w:rsid w:val="006C5673"/>
    <w:rsid w:val="006C5DA2"/>
    <w:rsid w:val="006D414F"/>
    <w:rsid w:val="006E303D"/>
    <w:rsid w:val="006E4F1D"/>
    <w:rsid w:val="006E6687"/>
    <w:rsid w:val="006F103E"/>
    <w:rsid w:val="006F4659"/>
    <w:rsid w:val="006F62F3"/>
    <w:rsid w:val="00704C43"/>
    <w:rsid w:val="00707247"/>
    <w:rsid w:val="0070792E"/>
    <w:rsid w:val="00710B84"/>
    <w:rsid w:val="00711D92"/>
    <w:rsid w:val="00713F21"/>
    <w:rsid w:val="00716D5C"/>
    <w:rsid w:val="00717E40"/>
    <w:rsid w:val="007207F7"/>
    <w:rsid w:val="00722156"/>
    <w:rsid w:val="00733585"/>
    <w:rsid w:val="00735B2B"/>
    <w:rsid w:val="007372D6"/>
    <w:rsid w:val="00741370"/>
    <w:rsid w:val="00741A6B"/>
    <w:rsid w:val="0075000F"/>
    <w:rsid w:val="0075687B"/>
    <w:rsid w:val="00775505"/>
    <w:rsid w:val="00787FE1"/>
    <w:rsid w:val="00793257"/>
    <w:rsid w:val="007961EA"/>
    <w:rsid w:val="007A2699"/>
    <w:rsid w:val="007A57BF"/>
    <w:rsid w:val="007B0769"/>
    <w:rsid w:val="007B5B66"/>
    <w:rsid w:val="007B62E4"/>
    <w:rsid w:val="007C5769"/>
    <w:rsid w:val="007C5EE2"/>
    <w:rsid w:val="007C6D5C"/>
    <w:rsid w:val="007D5ABC"/>
    <w:rsid w:val="007D724F"/>
    <w:rsid w:val="007F125A"/>
    <w:rsid w:val="008075CE"/>
    <w:rsid w:val="00816381"/>
    <w:rsid w:val="00820FBD"/>
    <w:rsid w:val="00823B87"/>
    <w:rsid w:val="0083057C"/>
    <w:rsid w:val="00833FD8"/>
    <w:rsid w:val="00836F92"/>
    <w:rsid w:val="008421E6"/>
    <w:rsid w:val="00846D33"/>
    <w:rsid w:val="00852059"/>
    <w:rsid w:val="0085699C"/>
    <w:rsid w:val="00856A51"/>
    <w:rsid w:val="008802FF"/>
    <w:rsid w:val="00880D58"/>
    <w:rsid w:val="008844A1"/>
    <w:rsid w:val="008853F6"/>
    <w:rsid w:val="00885C52"/>
    <w:rsid w:val="00885D53"/>
    <w:rsid w:val="00887B36"/>
    <w:rsid w:val="00890B62"/>
    <w:rsid w:val="008B5743"/>
    <w:rsid w:val="008C1D29"/>
    <w:rsid w:val="008D5BF2"/>
    <w:rsid w:val="008D779E"/>
    <w:rsid w:val="008E03C4"/>
    <w:rsid w:val="008E6D92"/>
    <w:rsid w:val="008E75F5"/>
    <w:rsid w:val="0090093E"/>
    <w:rsid w:val="009036C1"/>
    <w:rsid w:val="009323F5"/>
    <w:rsid w:val="0093746D"/>
    <w:rsid w:val="00940CC1"/>
    <w:rsid w:val="00946E79"/>
    <w:rsid w:val="009515B1"/>
    <w:rsid w:val="009571F1"/>
    <w:rsid w:val="00961FD8"/>
    <w:rsid w:val="0096368D"/>
    <w:rsid w:val="00964AFD"/>
    <w:rsid w:val="0097088C"/>
    <w:rsid w:val="009836F7"/>
    <w:rsid w:val="00991CB6"/>
    <w:rsid w:val="009A08FF"/>
    <w:rsid w:val="009A4AC7"/>
    <w:rsid w:val="009A792F"/>
    <w:rsid w:val="009B0201"/>
    <w:rsid w:val="009D2F9A"/>
    <w:rsid w:val="009E4FE2"/>
    <w:rsid w:val="009F2281"/>
    <w:rsid w:val="00A00DF2"/>
    <w:rsid w:val="00A15787"/>
    <w:rsid w:val="00A331C4"/>
    <w:rsid w:val="00A405EB"/>
    <w:rsid w:val="00A5100D"/>
    <w:rsid w:val="00A71CA7"/>
    <w:rsid w:val="00A732B7"/>
    <w:rsid w:val="00A74308"/>
    <w:rsid w:val="00A85940"/>
    <w:rsid w:val="00A90979"/>
    <w:rsid w:val="00A94CD0"/>
    <w:rsid w:val="00AB115C"/>
    <w:rsid w:val="00AB166C"/>
    <w:rsid w:val="00AB4A90"/>
    <w:rsid w:val="00AB4FC7"/>
    <w:rsid w:val="00AC4521"/>
    <w:rsid w:val="00AD33D6"/>
    <w:rsid w:val="00AD402A"/>
    <w:rsid w:val="00AD5A11"/>
    <w:rsid w:val="00B013BE"/>
    <w:rsid w:val="00B064F7"/>
    <w:rsid w:val="00B10C5D"/>
    <w:rsid w:val="00B17BF4"/>
    <w:rsid w:val="00B243BD"/>
    <w:rsid w:val="00B32F9F"/>
    <w:rsid w:val="00B3709F"/>
    <w:rsid w:val="00B3758D"/>
    <w:rsid w:val="00B4694F"/>
    <w:rsid w:val="00B50A85"/>
    <w:rsid w:val="00B91D23"/>
    <w:rsid w:val="00BA4BF0"/>
    <w:rsid w:val="00BB084A"/>
    <w:rsid w:val="00BC3BBD"/>
    <w:rsid w:val="00BC3BF5"/>
    <w:rsid w:val="00BC64C6"/>
    <w:rsid w:val="00BD33EE"/>
    <w:rsid w:val="00BD35F4"/>
    <w:rsid w:val="00BD6BFB"/>
    <w:rsid w:val="00BE0D2E"/>
    <w:rsid w:val="00BE4654"/>
    <w:rsid w:val="00BE53CC"/>
    <w:rsid w:val="00BE599F"/>
    <w:rsid w:val="00C14431"/>
    <w:rsid w:val="00C17831"/>
    <w:rsid w:val="00C21579"/>
    <w:rsid w:val="00C237A3"/>
    <w:rsid w:val="00C2558A"/>
    <w:rsid w:val="00C267F6"/>
    <w:rsid w:val="00C34BAE"/>
    <w:rsid w:val="00C35C6B"/>
    <w:rsid w:val="00C42C8D"/>
    <w:rsid w:val="00C43FE6"/>
    <w:rsid w:val="00C44D09"/>
    <w:rsid w:val="00C474CA"/>
    <w:rsid w:val="00C47BC2"/>
    <w:rsid w:val="00C608A7"/>
    <w:rsid w:val="00C66391"/>
    <w:rsid w:val="00C67149"/>
    <w:rsid w:val="00C67A34"/>
    <w:rsid w:val="00C928E5"/>
    <w:rsid w:val="00C94125"/>
    <w:rsid w:val="00C94A36"/>
    <w:rsid w:val="00C959EA"/>
    <w:rsid w:val="00CA077E"/>
    <w:rsid w:val="00CA2893"/>
    <w:rsid w:val="00CA5F9F"/>
    <w:rsid w:val="00CA769F"/>
    <w:rsid w:val="00CB2AB7"/>
    <w:rsid w:val="00CC46F0"/>
    <w:rsid w:val="00CC55A7"/>
    <w:rsid w:val="00CC670D"/>
    <w:rsid w:val="00CC79C4"/>
    <w:rsid w:val="00CD3CC5"/>
    <w:rsid w:val="00CD6F70"/>
    <w:rsid w:val="00CE341F"/>
    <w:rsid w:val="00CF38F5"/>
    <w:rsid w:val="00CF6B4B"/>
    <w:rsid w:val="00CF7062"/>
    <w:rsid w:val="00D05FC9"/>
    <w:rsid w:val="00D22F0D"/>
    <w:rsid w:val="00D2310D"/>
    <w:rsid w:val="00D432BC"/>
    <w:rsid w:val="00D50CA0"/>
    <w:rsid w:val="00D63E01"/>
    <w:rsid w:val="00D6480D"/>
    <w:rsid w:val="00D7223A"/>
    <w:rsid w:val="00D855D0"/>
    <w:rsid w:val="00DA2A57"/>
    <w:rsid w:val="00DA3AB7"/>
    <w:rsid w:val="00DB6BFE"/>
    <w:rsid w:val="00DC193D"/>
    <w:rsid w:val="00DD6085"/>
    <w:rsid w:val="00DE24BC"/>
    <w:rsid w:val="00DE6F11"/>
    <w:rsid w:val="00DE78FC"/>
    <w:rsid w:val="00DF6C48"/>
    <w:rsid w:val="00E44BB3"/>
    <w:rsid w:val="00E8533C"/>
    <w:rsid w:val="00E8585A"/>
    <w:rsid w:val="00E912EB"/>
    <w:rsid w:val="00E97153"/>
    <w:rsid w:val="00E972A4"/>
    <w:rsid w:val="00E97E19"/>
    <w:rsid w:val="00E97F8B"/>
    <w:rsid w:val="00EA240E"/>
    <w:rsid w:val="00EB5EA5"/>
    <w:rsid w:val="00EC32B3"/>
    <w:rsid w:val="00ED0EF9"/>
    <w:rsid w:val="00EE0F7B"/>
    <w:rsid w:val="00EE4ABB"/>
    <w:rsid w:val="00EF0B80"/>
    <w:rsid w:val="00EF2EFC"/>
    <w:rsid w:val="00F00259"/>
    <w:rsid w:val="00F0361C"/>
    <w:rsid w:val="00F0569D"/>
    <w:rsid w:val="00F108A1"/>
    <w:rsid w:val="00F46832"/>
    <w:rsid w:val="00F5227D"/>
    <w:rsid w:val="00F557E4"/>
    <w:rsid w:val="00F566E9"/>
    <w:rsid w:val="00F61096"/>
    <w:rsid w:val="00F62069"/>
    <w:rsid w:val="00F640E9"/>
    <w:rsid w:val="00F979A7"/>
    <w:rsid w:val="00FB2211"/>
    <w:rsid w:val="00FD56B4"/>
    <w:rsid w:val="00FD7E42"/>
    <w:rsid w:val="00FE2415"/>
    <w:rsid w:val="00FE56D6"/>
    <w:rsid w:val="00FF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5"/>
    <o:shapelayout v:ext="edit">
      <o:idmap v:ext="edit" data="1"/>
    </o:shapelayout>
  </w:shapeDefaults>
  <w:decimalSymbol w:val="."/>
  <w:listSeparator w:val=","/>
  <w14:docId w14:val="0D05CE4A"/>
  <w14:defaultImageDpi w14:val="96"/>
  <w15:docId w15:val="{839BC97E-D939-4017-9494-CC699AE4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TOC1">
    <w:name w:val="toc 1"/>
    <w:basedOn w:val="Normal"/>
    <w:next w:val="Normal"/>
    <w:uiPriority w:val="39"/>
    <w:rsid w:val="00205A9C"/>
    <w:pPr>
      <w:ind w:left="720" w:hanging="720"/>
    </w:pPr>
    <w:rPr>
      <w:rFonts w:ascii="Arial" w:hAnsi="Arial"/>
    </w:rPr>
  </w:style>
  <w:style w:type="character" w:customStyle="1" w:styleId="Hypertext">
    <w:name w:val="Hypertext"/>
    <w:uiPriority w:val="99"/>
    <w:rPr>
      <w:color w:val="0000FF"/>
      <w:u w:val="single"/>
    </w:rPr>
  </w:style>
  <w:style w:type="paragraph" w:styleId="TOC2">
    <w:name w:val="toc 2"/>
    <w:basedOn w:val="Normal"/>
    <w:next w:val="Normal"/>
    <w:uiPriority w:val="39"/>
    <w:rsid w:val="00205A9C"/>
    <w:pPr>
      <w:widowControl/>
      <w:ind w:left="1440" w:hanging="720"/>
    </w:pPr>
    <w:rPr>
      <w:rFonts w:ascii="Arial" w:hAnsi="Arial"/>
    </w:rPr>
  </w:style>
  <w:style w:type="paragraph" w:styleId="TOC3">
    <w:name w:val="toc 3"/>
    <w:basedOn w:val="Normal"/>
    <w:next w:val="Normal"/>
    <w:uiPriority w:val="39"/>
    <w:rsid w:val="00205A9C"/>
    <w:pPr>
      <w:widowControl/>
      <w:ind w:left="2160" w:hanging="720"/>
    </w:pPr>
    <w:rPr>
      <w:rFonts w:ascii="Arial" w:hAnsi="Arial"/>
    </w:rPr>
  </w:style>
  <w:style w:type="paragraph" w:styleId="TOC4">
    <w:name w:val="toc 4"/>
    <w:basedOn w:val="Normal"/>
    <w:next w:val="Normal"/>
    <w:uiPriority w:val="39"/>
    <w:rsid w:val="00205A9C"/>
    <w:pPr>
      <w:widowControl/>
      <w:ind w:left="2880" w:hanging="720"/>
    </w:pPr>
    <w:rPr>
      <w:rFonts w:ascii="Arial" w:hAnsi="Arial"/>
    </w:rPr>
  </w:style>
  <w:style w:type="paragraph" w:styleId="TOC5">
    <w:name w:val="toc 5"/>
    <w:basedOn w:val="Normal"/>
    <w:next w:val="Normal"/>
    <w:uiPriority w:val="39"/>
    <w:rsid w:val="00205A9C"/>
    <w:pPr>
      <w:widowControl/>
      <w:ind w:left="3600" w:hanging="720"/>
      <w:outlineLvl w:val="4"/>
    </w:pPr>
    <w:rPr>
      <w:rFonts w:ascii="Arial" w:hAnsi="Arial"/>
    </w:rPr>
  </w:style>
  <w:style w:type="paragraph" w:customStyle="1" w:styleId="ListParagra">
    <w:name w:val="List Paragra"/>
    <w:basedOn w:val="Normal"/>
    <w:uiPriority w:val="99"/>
    <w:pPr>
      <w:tabs>
        <w:tab w:val="left" w:pos="0"/>
        <w:tab w:val="left" w:pos="620"/>
        <w:tab w:val="left" w:pos="1340"/>
        <w:tab w:val="left" w:pos="2060"/>
        <w:tab w:val="left" w:pos="2780"/>
        <w:tab w:val="left" w:pos="3500"/>
        <w:tab w:val="left" w:pos="4220"/>
        <w:tab w:val="left" w:pos="4940"/>
        <w:tab w:val="left" w:pos="5660"/>
        <w:tab w:val="left" w:pos="6380"/>
        <w:tab w:val="left" w:pos="7100"/>
      </w:tabs>
      <w:ind w:left="1539" w:hanging="720"/>
      <w:jc w:val="both"/>
    </w:pPr>
    <w:rPr>
      <w:rFonts w:ascii="Arial" w:hAnsi="Arial" w:cs="Arial"/>
    </w:rPr>
  </w:style>
  <w:style w:type="paragraph" w:styleId="BodyText">
    <w:name w:val="Body Text"/>
    <w:basedOn w:val="Normal"/>
    <w:link w:val="BodyTextChar"/>
    <w:uiPriority w:val="99"/>
    <w:rPr>
      <w:rFonts w:ascii="Arial" w:hAnsi="Arial" w:cs="Arial"/>
    </w:rPr>
  </w:style>
  <w:style w:type="character" w:customStyle="1" w:styleId="BodyTextChar">
    <w:name w:val="Body Text Char"/>
    <w:basedOn w:val="DefaultParagraphFont"/>
    <w:link w:val="BodyText"/>
    <w:uiPriority w:val="99"/>
    <w:semiHidden/>
    <w:rsid w:val="002964AB"/>
    <w:rPr>
      <w:rFonts w:ascii="Times New Roman" w:hAnsi="Times New Roman" w:cs="Times New Roman"/>
      <w:sz w:val="24"/>
      <w:szCs w:val="24"/>
    </w:rPr>
  </w:style>
  <w:style w:type="paragraph" w:customStyle="1" w:styleId="Level1">
    <w:name w:val="Level 1"/>
    <w:basedOn w:val="Normal"/>
    <w:uiPriority w:val="99"/>
    <w:pPr>
      <w:ind w:left="2166" w:hanging="720"/>
    </w:pPr>
  </w:style>
  <w:style w:type="paragraph" w:styleId="BalloonText">
    <w:name w:val="Balloon Text"/>
    <w:basedOn w:val="Normal"/>
    <w:link w:val="BalloonTextChar"/>
    <w:uiPriority w:val="99"/>
    <w:semiHidden/>
    <w:unhideWhenUsed/>
    <w:rsid w:val="000569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909"/>
    <w:rPr>
      <w:rFonts w:ascii="Segoe UI" w:hAnsi="Segoe UI" w:cs="Segoe UI"/>
      <w:sz w:val="18"/>
      <w:szCs w:val="18"/>
    </w:rPr>
  </w:style>
  <w:style w:type="character" w:styleId="Hyperlink">
    <w:name w:val="Hyperlink"/>
    <w:basedOn w:val="DefaultParagraphFont"/>
    <w:uiPriority w:val="99"/>
    <w:unhideWhenUsed/>
    <w:rsid w:val="00C959EA"/>
    <w:rPr>
      <w:color w:val="0563C1" w:themeColor="hyperlink"/>
      <w:u w:val="single"/>
    </w:rPr>
  </w:style>
  <w:style w:type="character" w:styleId="UnresolvedMention">
    <w:name w:val="Unresolved Mention"/>
    <w:basedOn w:val="DefaultParagraphFont"/>
    <w:uiPriority w:val="99"/>
    <w:semiHidden/>
    <w:unhideWhenUsed/>
    <w:rsid w:val="00C959EA"/>
    <w:rPr>
      <w:color w:val="605E5C"/>
      <w:shd w:val="clear" w:color="auto" w:fill="E1DFDD"/>
    </w:rPr>
  </w:style>
  <w:style w:type="paragraph" w:styleId="TOC6">
    <w:name w:val="toc 6"/>
    <w:basedOn w:val="Normal"/>
    <w:next w:val="Normal"/>
    <w:autoRedefine/>
    <w:uiPriority w:val="39"/>
    <w:unhideWhenUsed/>
    <w:rsid w:val="00205A9C"/>
    <w:pPr>
      <w:widowControl/>
      <w:autoSpaceDE/>
      <w:autoSpaceDN/>
      <w:adjustRightInd/>
      <w:ind w:left="3600"/>
      <w:outlineLvl w:val="5"/>
    </w:pPr>
    <w:rPr>
      <w:rFonts w:ascii="Arial" w:hAnsi="Arial"/>
      <w:szCs w:val="22"/>
    </w:rPr>
  </w:style>
  <w:style w:type="paragraph" w:styleId="TOC7">
    <w:name w:val="toc 7"/>
    <w:basedOn w:val="Normal"/>
    <w:next w:val="Normal"/>
    <w:autoRedefine/>
    <w:uiPriority w:val="39"/>
    <w:unhideWhenUsed/>
    <w:rsid w:val="00836F92"/>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36F92"/>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36F92"/>
    <w:pPr>
      <w:widowControl/>
      <w:autoSpaceDE/>
      <w:autoSpaceDN/>
      <w:adjustRightInd/>
      <w:spacing w:after="100" w:line="259" w:lineRule="auto"/>
      <w:ind w:left="1760"/>
    </w:pPr>
    <w:rPr>
      <w:rFonts w:ascii="Calibri" w:hAnsi="Calibri"/>
      <w:sz w:val="22"/>
      <w:szCs w:val="22"/>
    </w:rPr>
  </w:style>
  <w:style w:type="paragraph" w:styleId="Header">
    <w:name w:val="header"/>
    <w:basedOn w:val="Normal"/>
    <w:link w:val="HeaderChar"/>
    <w:uiPriority w:val="99"/>
    <w:unhideWhenUsed/>
    <w:rsid w:val="00F0361C"/>
    <w:pPr>
      <w:tabs>
        <w:tab w:val="center" w:pos="4680"/>
        <w:tab w:val="right" w:pos="9360"/>
      </w:tabs>
    </w:pPr>
  </w:style>
  <w:style w:type="character" w:customStyle="1" w:styleId="HeaderChar">
    <w:name w:val="Header Char"/>
    <w:basedOn w:val="DefaultParagraphFont"/>
    <w:link w:val="Header"/>
    <w:uiPriority w:val="99"/>
    <w:rsid w:val="00F0361C"/>
    <w:rPr>
      <w:rFonts w:ascii="Times New Roman" w:hAnsi="Times New Roman" w:cs="Times New Roman"/>
      <w:sz w:val="24"/>
      <w:szCs w:val="24"/>
    </w:rPr>
  </w:style>
  <w:style w:type="paragraph" w:styleId="Footer">
    <w:name w:val="footer"/>
    <w:basedOn w:val="Normal"/>
    <w:link w:val="FooterChar"/>
    <w:uiPriority w:val="99"/>
    <w:unhideWhenUsed/>
    <w:rsid w:val="00F0361C"/>
    <w:pPr>
      <w:tabs>
        <w:tab w:val="center" w:pos="4680"/>
        <w:tab w:val="right" w:pos="9360"/>
      </w:tabs>
    </w:pPr>
  </w:style>
  <w:style w:type="character" w:customStyle="1" w:styleId="FooterChar">
    <w:name w:val="Footer Char"/>
    <w:basedOn w:val="DefaultParagraphFont"/>
    <w:link w:val="Footer"/>
    <w:uiPriority w:val="99"/>
    <w:rsid w:val="00F0361C"/>
    <w:rPr>
      <w:rFonts w:ascii="Times New Roman" w:hAnsi="Times New Roman" w:cs="Times New Roman"/>
      <w:sz w:val="24"/>
      <w:szCs w:val="24"/>
    </w:rPr>
  </w:style>
  <w:style w:type="paragraph" w:styleId="ListParagraph">
    <w:name w:val="List Paragraph"/>
    <w:basedOn w:val="Normal"/>
    <w:uiPriority w:val="34"/>
    <w:qFormat/>
    <w:rsid w:val="008C1D29"/>
    <w:pPr>
      <w:ind w:left="720"/>
      <w:contextualSpacing/>
    </w:pPr>
  </w:style>
  <w:style w:type="character" w:styleId="CommentReference">
    <w:name w:val="annotation reference"/>
    <w:basedOn w:val="DefaultParagraphFont"/>
    <w:uiPriority w:val="99"/>
    <w:semiHidden/>
    <w:unhideWhenUsed/>
    <w:rsid w:val="007F125A"/>
    <w:rPr>
      <w:sz w:val="16"/>
      <w:szCs w:val="16"/>
    </w:rPr>
  </w:style>
  <w:style w:type="paragraph" w:styleId="CommentText">
    <w:name w:val="annotation text"/>
    <w:basedOn w:val="Normal"/>
    <w:link w:val="CommentTextChar"/>
    <w:uiPriority w:val="99"/>
    <w:semiHidden/>
    <w:unhideWhenUsed/>
    <w:rsid w:val="007F125A"/>
    <w:rPr>
      <w:sz w:val="20"/>
      <w:szCs w:val="20"/>
    </w:rPr>
  </w:style>
  <w:style w:type="character" w:customStyle="1" w:styleId="CommentTextChar">
    <w:name w:val="Comment Text Char"/>
    <w:basedOn w:val="DefaultParagraphFont"/>
    <w:link w:val="CommentText"/>
    <w:uiPriority w:val="99"/>
    <w:semiHidden/>
    <w:rsid w:val="007F125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125A"/>
    <w:rPr>
      <w:b/>
      <w:bCs/>
    </w:rPr>
  </w:style>
  <w:style w:type="character" w:customStyle="1" w:styleId="CommentSubjectChar">
    <w:name w:val="Comment Subject Char"/>
    <w:basedOn w:val="CommentTextChar"/>
    <w:link w:val="CommentSubject"/>
    <w:uiPriority w:val="99"/>
    <w:semiHidden/>
    <w:rsid w:val="007F125A"/>
    <w:rPr>
      <w:rFonts w:ascii="Times New Roman" w:hAnsi="Times New Roman" w:cs="Times New Roman"/>
      <w:b/>
      <w:bCs/>
      <w:sz w:val="20"/>
      <w:szCs w:val="20"/>
    </w:rPr>
  </w:style>
  <w:style w:type="paragraph" w:styleId="Revision">
    <w:name w:val="Revision"/>
    <w:hidden/>
    <w:uiPriority w:val="99"/>
    <w:semiHidden/>
    <w:rsid w:val="006E4F1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cer.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d.uscourts.gov/internetDocs/pom/crtplans/fedpract.pdf" TargetMode="External"/><Relationship Id="rId5" Type="http://schemas.openxmlformats.org/officeDocument/2006/relationships/webSettings" Target="webSettings.xml"/><Relationship Id="rId10" Type="http://schemas.openxmlformats.org/officeDocument/2006/relationships/hyperlink" Target="https://www.ned.uscourts.gov/plansandpolicies" TargetMode="External"/><Relationship Id="rId4" Type="http://schemas.openxmlformats.org/officeDocument/2006/relationships/settings" Target="settings.xml"/><Relationship Id="rId9" Type="http://schemas.openxmlformats.org/officeDocument/2006/relationships/hyperlink" Target="https://www.pacer.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ned.uscourts.gov/internetDocs/localrules/NEGenR.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27574-ABBC-4759-BBF0-83CC606F0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1967</Words>
  <Characters>10607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Boesen</dc:creator>
  <cp:keywords/>
  <dc:description/>
  <cp:lastModifiedBy>Jacqueline Boesen</cp:lastModifiedBy>
  <cp:revision>2</cp:revision>
  <cp:lastPrinted>2020-04-09T16:02:00Z</cp:lastPrinted>
  <dcterms:created xsi:type="dcterms:W3CDTF">2021-09-10T15:38:00Z</dcterms:created>
  <dcterms:modified xsi:type="dcterms:W3CDTF">2021-09-10T15:38:00Z</dcterms:modified>
</cp:coreProperties>
</file>