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7A63F" w14:textId="77777777" w:rsidR="0080690F" w:rsidRPr="00FE2415" w:rsidRDefault="0080690F" w:rsidP="0080690F">
      <w:pPr>
        <w:tabs>
          <w:tab w:val="left" w:pos="-1440"/>
        </w:tabs>
        <w:ind w:left="720" w:hanging="720"/>
        <w:jc w:val="both"/>
        <w:outlineLvl w:val="0"/>
        <w:rPr>
          <w:rFonts w:ascii="Arial" w:hAnsi="Arial" w:cs="Arial"/>
        </w:rPr>
      </w:pPr>
      <w:bookmarkStart w:id="0" w:name="_Toc5877548"/>
      <w:bookmarkStart w:id="1" w:name="_Toc5879199"/>
      <w:bookmarkStart w:id="2" w:name="_Toc5879412"/>
      <w:bookmarkStart w:id="3" w:name="_Toc5886723"/>
      <w:bookmarkStart w:id="4" w:name="_Toc56076451"/>
      <w:r w:rsidRPr="00671E64">
        <w:rPr>
          <w:rFonts w:ascii="Arial" w:hAnsi="Arial" w:cs="Arial"/>
          <w:b/>
          <w:bCs/>
        </w:rPr>
        <w:t>1.4</w:t>
      </w:r>
      <w:r w:rsidRPr="00671E64">
        <w:rPr>
          <w:rFonts w:ascii="Arial" w:hAnsi="Arial" w:cs="Arial"/>
          <w:b/>
          <w:bCs/>
        </w:rPr>
        <w:tab/>
        <w:t>Assignment of Judges.</w:t>
      </w:r>
      <w:bookmarkEnd w:id="0"/>
      <w:bookmarkEnd w:id="1"/>
      <w:bookmarkEnd w:id="2"/>
      <w:bookmarkEnd w:id="3"/>
      <w:bookmarkEnd w:id="4"/>
      <w:r>
        <w:rPr>
          <w:rFonts w:ascii="Arial" w:hAnsi="Arial" w:cs="Arial"/>
          <w:b/>
          <w:bCs/>
        </w:rPr>
        <w:br/>
      </w:r>
    </w:p>
    <w:p w14:paraId="4B21A2D7" w14:textId="77777777" w:rsidR="0080690F" w:rsidRPr="00671E64" w:rsidRDefault="0080690F" w:rsidP="0080690F">
      <w:pPr>
        <w:tabs>
          <w:tab w:val="left" w:pos="-1440"/>
        </w:tabs>
        <w:ind w:left="1440" w:hanging="720"/>
        <w:jc w:val="both"/>
        <w:outlineLvl w:val="1"/>
        <w:rPr>
          <w:rFonts w:ascii="Arial" w:hAnsi="Arial" w:cs="Arial"/>
        </w:rPr>
      </w:pPr>
      <w:bookmarkStart w:id="5" w:name="a_3"/>
      <w:bookmarkStart w:id="6" w:name="_Toc5877549"/>
      <w:bookmarkStart w:id="7" w:name="_Toc5879200"/>
      <w:bookmarkStart w:id="8" w:name="_Toc5879413"/>
      <w:bookmarkStart w:id="9" w:name="_Toc5886724"/>
      <w:bookmarkStart w:id="10" w:name="_Toc56076452"/>
      <w:bookmarkEnd w:id="5"/>
      <w:r w:rsidRPr="00671E64">
        <w:rPr>
          <w:rFonts w:ascii="Arial" w:hAnsi="Arial" w:cs="Arial"/>
          <w:b/>
          <w:bCs/>
        </w:rPr>
        <w:t>(a)</w:t>
      </w:r>
      <w:r w:rsidRPr="00671E64">
        <w:rPr>
          <w:rFonts w:ascii="Arial" w:hAnsi="Arial" w:cs="Arial"/>
          <w:b/>
          <w:bCs/>
        </w:rPr>
        <w:tab/>
        <w:t>District Court.</w:t>
      </w:r>
      <w:bookmarkEnd w:id="6"/>
      <w:bookmarkEnd w:id="7"/>
      <w:bookmarkEnd w:id="8"/>
      <w:bookmarkEnd w:id="9"/>
      <w:bookmarkEnd w:id="10"/>
      <w:r>
        <w:rPr>
          <w:rFonts w:ascii="Arial" w:hAnsi="Arial" w:cs="Arial"/>
          <w:b/>
          <w:bCs/>
        </w:rPr>
        <w:br/>
      </w:r>
    </w:p>
    <w:p w14:paraId="6470F7C8" w14:textId="77777777" w:rsidR="0080690F" w:rsidRPr="00E8533C" w:rsidRDefault="0080690F" w:rsidP="0080690F">
      <w:pPr>
        <w:pStyle w:val="ListParagraph"/>
        <w:numPr>
          <w:ilvl w:val="0"/>
          <w:numId w:val="17"/>
        </w:numPr>
        <w:tabs>
          <w:tab w:val="left" w:pos="-1440"/>
        </w:tabs>
        <w:jc w:val="both"/>
        <w:outlineLvl w:val="2"/>
        <w:rPr>
          <w:rFonts w:ascii="Arial" w:hAnsi="Arial" w:cs="Arial"/>
        </w:rPr>
      </w:pPr>
      <w:bookmarkStart w:id="11" w:name="a_4"/>
      <w:bookmarkStart w:id="12" w:name="_Toc5877550"/>
      <w:bookmarkStart w:id="13" w:name="_Toc5879201"/>
      <w:bookmarkStart w:id="14" w:name="_Toc5879414"/>
      <w:bookmarkStart w:id="15" w:name="_Toc5886725"/>
      <w:bookmarkStart w:id="16" w:name="_Toc56076453"/>
      <w:bookmarkEnd w:id="11"/>
      <w:r w:rsidRPr="00E8533C">
        <w:rPr>
          <w:rFonts w:ascii="Arial" w:hAnsi="Arial" w:cs="Arial"/>
          <w:b/>
          <w:bCs/>
        </w:rPr>
        <w:t>Dockets.</w:t>
      </w:r>
      <w:bookmarkEnd w:id="12"/>
      <w:bookmarkEnd w:id="13"/>
      <w:bookmarkEnd w:id="14"/>
      <w:bookmarkEnd w:id="15"/>
      <w:bookmarkEnd w:id="16"/>
      <w:r w:rsidRPr="00E8533C">
        <w:rPr>
          <w:rFonts w:ascii="Arial" w:hAnsi="Arial" w:cs="Arial"/>
          <w:b/>
          <w:bCs/>
        </w:rPr>
        <w:br/>
      </w:r>
    </w:p>
    <w:p w14:paraId="5CDEA027" w14:textId="77777777" w:rsidR="0080690F" w:rsidRDefault="0080690F" w:rsidP="0080690F">
      <w:pPr>
        <w:pStyle w:val="ListParagraph"/>
        <w:tabs>
          <w:tab w:val="left" w:pos="-1440"/>
        </w:tabs>
        <w:ind w:left="2160"/>
        <w:jc w:val="both"/>
        <w:rPr>
          <w:rFonts w:ascii="Arial" w:hAnsi="Arial" w:cs="Arial"/>
        </w:rPr>
      </w:pPr>
      <w:r w:rsidRPr="00E8533C">
        <w:rPr>
          <w:rFonts w:ascii="Arial" w:hAnsi="Arial" w:cs="Arial"/>
        </w:rPr>
        <w:t>As determined by the majority of the active district judges, the court maintains various dockets generally defined by geography or the nature of the case. Not all judges participate in each docket. A judge who participates in a docket may not necessarily receive cases in the same proportion as other participating judges. The chief judge, after consulting with the other active district judges, determines the judges selected to participate in one or more of these dockets and the proportion of participation.</w:t>
      </w:r>
      <w:r>
        <w:rPr>
          <w:rFonts w:ascii="Arial" w:hAnsi="Arial" w:cs="Arial"/>
        </w:rPr>
        <w:br/>
      </w:r>
    </w:p>
    <w:p w14:paraId="63B2D29B" w14:textId="77777777" w:rsidR="0080690F" w:rsidRPr="00E8533C" w:rsidRDefault="0080690F" w:rsidP="0080690F">
      <w:pPr>
        <w:pStyle w:val="ListParagraph"/>
        <w:numPr>
          <w:ilvl w:val="0"/>
          <w:numId w:val="17"/>
        </w:numPr>
        <w:tabs>
          <w:tab w:val="left" w:pos="-1440"/>
        </w:tabs>
        <w:jc w:val="both"/>
        <w:outlineLvl w:val="2"/>
        <w:rPr>
          <w:rFonts w:ascii="Arial" w:hAnsi="Arial" w:cs="Arial"/>
        </w:rPr>
      </w:pPr>
      <w:bookmarkStart w:id="17" w:name="a_5"/>
      <w:bookmarkStart w:id="18" w:name="_Toc5877551"/>
      <w:bookmarkStart w:id="19" w:name="_Toc5879202"/>
      <w:bookmarkStart w:id="20" w:name="_Toc5879415"/>
      <w:bookmarkStart w:id="21" w:name="_Toc5886726"/>
      <w:bookmarkStart w:id="22" w:name="_Toc56076454"/>
      <w:bookmarkEnd w:id="17"/>
      <w:r w:rsidRPr="00E8533C">
        <w:rPr>
          <w:rFonts w:ascii="Arial" w:hAnsi="Arial" w:cs="Arial"/>
          <w:b/>
          <w:bCs/>
        </w:rPr>
        <w:t>Assignment Method.</w:t>
      </w:r>
      <w:bookmarkEnd w:id="18"/>
      <w:bookmarkEnd w:id="19"/>
      <w:bookmarkEnd w:id="20"/>
      <w:bookmarkEnd w:id="21"/>
      <w:bookmarkEnd w:id="22"/>
      <w:r w:rsidRPr="00E8533C">
        <w:rPr>
          <w:rFonts w:ascii="Arial" w:hAnsi="Arial" w:cs="Arial"/>
          <w:b/>
          <w:bCs/>
        </w:rPr>
        <w:br/>
      </w:r>
    </w:p>
    <w:p w14:paraId="5E46675D" w14:textId="77777777" w:rsidR="0080690F" w:rsidRDefault="0080690F" w:rsidP="0080690F">
      <w:pPr>
        <w:pStyle w:val="ListParagraph"/>
        <w:tabs>
          <w:tab w:val="left" w:pos="-1440"/>
        </w:tabs>
        <w:ind w:left="2160"/>
        <w:jc w:val="both"/>
        <w:rPr>
          <w:rFonts w:ascii="Arial" w:hAnsi="Arial" w:cs="Arial"/>
        </w:rPr>
      </w:pPr>
      <w:r w:rsidRPr="00E8533C">
        <w:rPr>
          <w:rFonts w:ascii="Arial" w:hAnsi="Arial" w:cs="Arial"/>
        </w:rPr>
        <w:t>Unless these rules state or the chief judge directs otherwise, the clerk randomly assigns cases from each docket to the participating judges. However, under the chief judge</w:t>
      </w:r>
      <w:r w:rsidRPr="00671E64">
        <w:sym w:font="WP TypographicSymbols" w:char="003D"/>
      </w:r>
      <w:r w:rsidRPr="00E8533C">
        <w:rPr>
          <w:rFonts w:ascii="Arial" w:hAnsi="Arial" w:cs="Arial"/>
        </w:rPr>
        <w:t xml:space="preserve">s direction after consulting with the other active district judges, a magistrate judge may be paired with a district judge on a nonrandom basis. </w:t>
      </w:r>
      <w:r w:rsidRPr="00E8533C">
        <w:rPr>
          <w:rFonts w:ascii="Arial" w:hAnsi="Arial" w:cs="Arial"/>
          <w:i/>
          <w:iCs/>
        </w:rPr>
        <w:t>See</w:t>
      </w:r>
      <w:r w:rsidRPr="00E8533C">
        <w:rPr>
          <w:rFonts w:ascii="Arial" w:hAnsi="Arial" w:cs="Arial"/>
        </w:rPr>
        <w:t xml:space="preserve"> NECivR 73.1 (assignment of civil cases to magistrate judges for trial). In interpreting this rule, the chief judge</w:t>
      </w:r>
      <w:r w:rsidRPr="00671E64">
        <w:sym w:font="WP TypographicSymbols" w:char="003D"/>
      </w:r>
      <w:r w:rsidRPr="00E8533C">
        <w:rPr>
          <w:rFonts w:ascii="Arial" w:hAnsi="Arial" w:cs="Arial"/>
        </w:rPr>
        <w:t>s decision is final.</w:t>
      </w:r>
      <w:r>
        <w:rPr>
          <w:rFonts w:ascii="Arial" w:hAnsi="Arial" w:cs="Arial"/>
        </w:rPr>
        <w:br/>
      </w:r>
    </w:p>
    <w:p w14:paraId="4DF83992" w14:textId="77777777" w:rsidR="0080690F" w:rsidRPr="00671E64" w:rsidRDefault="0080690F" w:rsidP="0080690F">
      <w:pPr>
        <w:tabs>
          <w:tab w:val="left" w:pos="-1440"/>
        </w:tabs>
        <w:ind w:left="2160" w:hanging="720"/>
        <w:jc w:val="both"/>
        <w:outlineLvl w:val="2"/>
        <w:rPr>
          <w:rFonts w:ascii="Arial" w:hAnsi="Arial" w:cs="Arial"/>
        </w:rPr>
      </w:pPr>
      <w:bookmarkStart w:id="23" w:name="a_6"/>
      <w:bookmarkStart w:id="24" w:name="_Toc5877552"/>
      <w:bookmarkStart w:id="25" w:name="_Toc5879203"/>
      <w:bookmarkStart w:id="26" w:name="_Toc5879416"/>
      <w:bookmarkStart w:id="27" w:name="_Toc5886727"/>
      <w:bookmarkStart w:id="28" w:name="_Toc56076455"/>
      <w:bookmarkEnd w:id="23"/>
      <w:r w:rsidRPr="00671E64">
        <w:rPr>
          <w:rFonts w:ascii="Arial" w:hAnsi="Arial" w:cs="Arial"/>
          <w:b/>
          <w:bCs/>
        </w:rPr>
        <w:t>(3)</w:t>
      </w:r>
      <w:r w:rsidRPr="00671E64">
        <w:rPr>
          <w:rFonts w:ascii="Arial" w:hAnsi="Arial" w:cs="Arial"/>
          <w:b/>
          <w:bCs/>
        </w:rPr>
        <w:tab/>
        <w:t>Reassignments.</w:t>
      </w:r>
      <w:bookmarkEnd w:id="24"/>
      <w:bookmarkEnd w:id="25"/>
      <w:bookmarkEnd w:id="26"/>
      <w:bookmarkEnd w:id="27"/>
      <w:bookmarkEnd w:id="28"/>
      <w:r>
        <w:rPr>
          <w:rFonts w:ascii="Arial" w:hAnsi="Arial" w:cs="Arial"/>
          <w:b/>
          <w:bCs/>
        </w:rPr>
        <w:br/>
      </w:r>
    </w:p>
    <w:p w14:paraId="46C56743" w14:textId="658DC1DC" w:rsidR="0080690F" w:rsidRPr="0080690F" w:rsidRDefault="0080690F" w:rsidP="0080690F">
      <w:pPr>
        <w:pStyle w:val="ListParagraph"/>
        <w:numPr>
          <w:ilvl w:val="0"/>
          <w:numId w:val="34"/>
        </w:numPr>
        <w:tabs>
          <w:tab w:val="left" w:pos="-1440"/>
        </w:tabs>
        <w:ind w:hanging="720"/>
        <w:jc w:val="both"/>
        <w:outlineLvl w:val="3"/>
        <w:rPr>
          <w:rFonts w:ascii="Arial" w:hAnsi="Arial" w:cs="Arial"/>
          <w:b/>
          <w:bCs/>
        </w:rPr>
      </w:pPr>
      <w:bookmarkStart w:id="29" w:name="a_7"/>
      <w:bookmarkStart w:id="30" w:name="_Toc5877553"/>
      <w:bookmarkStart w:id="31" w:name="_Toc5879204"/>
      <w:bookmarkStart w:id="32" w:name="_Toc5879417"/>
      <w:bookmarkStart w:id="33" w:name="_Toc5886728"/>
      <w:bookmarkStart w:id="34" w:name="_Toc56076456"/>
      <w:bookmarkEnd w:id="29"/>
      <w:r w:rsidRPr="0080690F">
        <w:rPr>
          <w:rFonts w:ascii="Arial" w:hAnsi="Arial" w:cs="Arial"/>
          <w:b/>
          <w:bCs/>
        </w:rPr>
        <w:t>District Judges.</w:t>
      </w:r>
      <w:bookmarkEnd w:id="30"/>
      <w:bookmarkEnd w:id="31"/>
      <w:bookmarkEnd w:id="32"/>
      <w:bookmarkEnd w:id="33"/>
      <w:bookmarkEnd w:id="34"/>
      <w:r w:rsidRPr="0080690F">
        <w:rPr>
          <w:rFonts w:ascii="Arial" w:hAnsi="Arial" w:cs="Arial"/>
          <w:b/>
          <w:bCs/>
        </w:rPr>
        <w:br/>
      </w:r>
    </w:p>
    <w:p w14:paraId="1E174B49" w14:textId="77777777" w:rsidR="0080690F" w:rsidRPr="00671E64" w:rsidRDefault="0080690F" w:rsidP="0080690F">
      <w:pPr>
        <w:tabs>
          <w:tab w:val="left" w:pos="-1440"/>
        </w:tabs>
        <w:ind w:left="2880"/>
        <w:jc w:val="both"/>
        <w:rPr>
          <w:rFonts w:ascii="Arial" w:hAnsi="Arial" w:cs="Arial"/>
        </w:rPr>
      </w:pPr>
      <w:r w:rsidRPr="00671E64">
        <w:rPr>
          <w:rFonts w:ascii="Arial" w:hAnsi="Arial" w:cs="Arial"/>
        </w:rPr>
        <w:t>The chief judge, with the assigned district judge</w:t>
      </w:r>
      <w:r w:rsidRPr="00671E64">
        <w:rPr>
          <w:rFonts w:ascii="Arial" w:hAnsi="Arial" w:cs="Arial"/>
        </w:rPr>
        <w:sym w:font="WP TypographicSymbols" w:char="003D"/>
      </w:r>
      <w:r w:rsidRPr="00671E64">
        <w:rPr>
          <w:rFonts w:ascii="Arial" w:hAnsi="Arial" w:cs="Arial"/>
        </w:rPr>
        <w:t>s consent, may reassign a case to another district judge due to personal disqualification of the assigned district judge or other good cause. If the assigned district judge is disabled and unable to consent to reassignment, the chief judge may reassign the case without the district judge</w:t>
      </w:r>
      <w:r w:rsidRPr="00671E64">
        <w:rPr>
          <w:rFonts w:ascii="Arial" w:hAnsi="Arial" w:cs="Arial"/>
        </w:rPr>
        <w:sym w:font="WP TypographicSymbols" w:char="003D"/>
      </w:r>
      <w:r w:rsidRPr="00671E64">
        <w:rPr>
          <w:rFonts w:ascii="Arial" w:hAnsi="Arial" w:cs="Arial"/>
        </w:rPr>
        <w:t>s consent. If the chief judge is disqualified or disabled, the reassignment authority passes to the active status district judge then available and next senior in service. If all active status district judges are disqualified or disabled, the reassignment authority passes to the senior status district judge then available and most senior in service. If all district judges are disqualified or incapacitated, and if a visiting judge has been designated for service in this district, the reassignment authority passes to the visiting judge.</w:t>
      </w:r>
      <w:r>
        <w:rPr>
          <w:rFonts w:ascii="Arial" w:hAnsi="Arial" w:cs="Arial"/>
        </w:rPr>
        <w:br/>
      </w:r>
    </w:p>
    <w:p w14:paraId="7EAFF01B" w14:textId="3BFE173A" w:rsidR="0080690F" w:rsidRPr="0080690F" w:rsidRDefault="0080690F" w:rsidP="0080690F">
      <w:pPr>
        <w:pStyle w:val="ListParagraph"/>
        <w:numPr>
          <w:ilvl w:val="0"/>
          <w:numId w:val="34"/>
        </w:numPr>
        <w:tabs>
          <w:tab w:val="left" w:pos="-1440"/>
        </w:tabs>
        <w:ind w:hanging="720"/>
        <w:jc w:val="both"/>
        <w:outlineLvl w:val="3"/>
        <w:rPr>
          <w:rFonts w:ascii="Arial" w:hAnsi="Arial" w:cs="Arial"/>
        </w:rPr>
      </w:pPr>
      <w:bookmarkStart w:id="35" w:name="a_8"/>
      <w:bookmarkStart w:id="36" w:name="_Toc5877554"/>
      <w:bookmarkStart w:id="37" w:name="_Toc5879205"/>
      <w:bookmarkStart w:id="38" w:name="_Toc5879418"/>
      <w:bookmarkStart w:id="39" w:name="_Toc5886729"/>
      <w:bookmarkStart w:id="40" w:name="_Toc56076457"/>
      <w:bookmarkEnd w:id="35"/>
      <w:r w:rsidRPr="0080690F">
        <w:rPr>
          <w:rFonts w:ascii="Arial" w:hAnsi="Arial" w:cs="Arial"/>
          <w:b/>
          <w:bCs/>
        </w:rPr>
        <w:t>Magistrate Judges.</w:t>
      </w:r>
      <w:bookmarkEnd w:id="36"/>
      <w:bookmarkEnd w:id="37"/>
      <w:bookmarkEnd w:id="38"/>
      <w:bookmarkEnd w:id="39"/>
      <w:bookmarkEnd w:id="40"/>
      <w:r w:rsidRPr="0080690F">
        <w:rPr>
          <w:rFonts w:ascii="Arial" w:hAnsi="Arial" w:cs="Arial"/>
          <w:b/>
          <w:bCs/>
        </w:rPr>
        <w:br/>
      </w:r>
    </w:p>
    <w:p w14:paraId="3E9B2BAD" w14:textId="77777777" w:rsidR="0080690F" w:rsidRPr="00671E64" w:rsidRDefault="0080690F" w:rsidP="0080690F">
      <w:pPr>
        <w:tabs>
          <w:tab w:val="left" w:pos="-1440"/>
        </w:tabs>
        <w:ind w:left="2880"/>
        <w:jc w:val="both"/>
        <w:rPr>
          <w:rFonts w:ascii="Arial" w:hAnsi="Arial" w:cs="Arial"/>
        </w:rPr>
      </w:pPr>
      <w:r w:rsidRPr="00671E64">
        <w:rPr>
          <w:rFonts w:ascii="Arial" w:hAnsi="Arial" w:cs="Arial"/>
        </w:rPr>
        <w:t>The assigned district judge may reassign the reference on the case from one magistrate judge to another magistrate judge due to the assigned magistrate judge</w:t>
      </w:r>
      <w:r w:rsidRPr="00671E64">
        <w:rPr>
          <w:rFonts w:ascii="Arial" w:hAnsi="Arial" w:cs="Arial"/>
        </w:rPr>
        <w:sym w:font="WP TypographicSymbols" w:char="003D"/>
      </w:r>
      <w:r w:rsidRPr="00671E64">
        <w:rPr>
          <w:rFonts w:ascii="Arial" w:hAnsi="Arial" w:cs="Arial"/>
        </w:rPr>
        <w:t>s personal disqualification or other good cause.</w:t>
      </w:r>
      <w:r>
        <w:rPr>
          <w:rFonts w:ascii="Arial" w:hAnsi="Arial" w:cs="Arial"/>
        </w:rPr>
        <w:br/>
      </w:r>
    </w:p>
    <w:p w14:paraId="61E76D07" w14:textId="77777777" w:rsidR="0080690F" w:rsidRPr="00C17831" w:rsidRDefault="0080690F" w:rsidP="0080690F">
      <w:pPr>
        <w:pStyle w:val="ListParagraph"/>
        <w:numPr>
          <w:ilvl w:val="0"/>
          <w:numId w:val="34"/>
        </w:numPr>
        <w:tabs>
          <w:tab w:val="left" w:pos="-1440"/>
        </w:tabs>
        <w:ind w:hanging="720"/>
        <w:jc w:val="both"/>
        <w:outlineLvl w:val="3"/>
        <w:rPr>
          <w:rFonts w:ascii="Arial" w:hAnsi="Arial" w:cs="Arial"/>
          <w:b/>
          <w:bCs/>
        </w:rPr>
      </w:pPr>
      <w:bookmarkStart w:id="41" w:name="a_9"/>
      <w:bookmarkStart w:id="42" w:name="_Toc5877555"/>
      <w:bookmarkStart w:id="43" w:name="_Toc5879206"/>
      <w:bookmarkStart w:id="44" w:name="_Toc5879419"/>
      <w:bookmarkStart w:id="45" w:name="_Toc5886730"/>
      <w:bookmarkStart w:id="46" w:name="_Toc56076458"/>
      <w:bookmarkEnd w:id="41"/>
      <w:r w:rsidRPr="00C17831">
        <w:rPr>
          <w:rFonts w:ascii="Arial" w:hAnsi="Arial" w:cs="Arial"/>
          <w:b/>
          <w:bCs/>
        </w:rPr>
        <w:t>Clerk.</w:t>
      </w:r>
      <w:bookmarkEnd w:id="42"/>
      <w:bookmarkEnd w:id="43"/>
      <w:bookmarkEnd w:id="44"/>
      <w:bookmarkEnd w:id="45"/>
      <w:bookmarkEnd w:id="46"/>
      <w:r w:rsidRPr="00C17831">
        <w:rPr>
          <w:rFonts w:ascii="Arial" w:hAnsi="Arial" w:cs="Arial"/>
          <w:b/>
          <w:bCs/>
        </w:rPr>
        <w:br/>
      </w:r>
    </w:p>
    <w:p w14:paraId="064E95F0" w14:textId="77777777" w:rsidR="0080690F" w:rsidRPr="00E8533C" w:rsidRDefault="0080690F" w:rsidP="0080690F">
      <w:pPr>
        <w:pStyle w:val="ListParagraph"/>
        <w:ind w:left="2880"/>
        <w:jc w:val="both"/>
        <w:rPr>
          <w:rFonts w:ascii="Arial" w:hAnsi="Arial" w:cs="Arial"/>
        </w:rPr>
      </w:pPr>
      <w:r w:rsidRPr="00E8533C">
        <w:rPr>
          <w:rFonts w:ascii="Arial" w:hAnsi="Arial" w:cs="Arial"/>
        </w:rPr>
        <w:t>The clerk is authorized to reassign a civil case to:</w:t>
      </w:r>
      <w:r>
        <w:rPr>
          <w:rFonts w:ascii="Arial" w:hAnsi="Arial" w:cs="Arial"/>
        </w:rPr>
        <w:br/>
      </w:r>
    </w:p>
    <w:p w14:paraId="0FDADD59" w14:textId="77777777" w:rsidR="0080690F" w:rsidRPr="00083DCE" w:rsidRDefault="0080690F" w:rsidP="0080690F">
      <w:pPr>
        <w:widowControl/>
        <w:ind w:left="3600" w:hanging="720"/>
        <w:jc w:val="both"/>
        <w:rPr>
          <w:rFonts w:ascii="Arial" w:hAnsi="Arial" w:cs="Arial"/>
        </w:rPr>
      </w:pPr>
      <w:r w:rsidRPr="00083DCE">
        <w:rPr>
          <w:rFonts w:ascii="Arial" w:hAnsi="Arial" w:cs="Arial"/>
        </w:rPr>
        <w:t xml:space="preserve">(i) </w:t>
      </w:r>
      <w:r w:rsidRPr="00083DCE">
        <w:rPr>
          <w:rFonts w:ascii="Arial" w:hAnsi="Arial" w:cs="Arial"/>
        </w:rPr>
        <w:tab/>
        <w:t>a referral magistrate judge when the civil case is originally assigned to an Article III judge and all parties voluntarily consent to reassignment in writing in the Rule 26(f) report or otherwise; and</w:t>
      </w:r>
      <w:r w:rsidRPr="00083DCE">
        <w:rPr>
          <w:rFonts w:ascii="Arial" w:hAnsi="Arial" w:cs="Arial"/>
        </w:rPr>
        <w:br/>
      </w:r>
    </w:p>
    <w:p w14:paraId="5A6A6BE8" w14:textId="77777777" w:rsidR="0080690F" w:rsidRPr="00671E64" w:rsidRDefault="0080690F" w:rsidP="0080690F">
      <w:pPr>
        <w:ind w:left="3600" w:hanging="720"/>
        <w:jc w:val="both"/>
        <w:rPr>
          <w:rFonts w:ascii="Arial" w:hAnsi="Arial" w:cs="Arial"/>
        </w:rPr>
      </w:pPr>
      <w:r w:rsidRPr="00083DCE">
        <w:rPr>
          <w:rFonts w:ascii="Arial" w:hAnsi="Arial" w:cs="Arial"/>
        </w:rPr>
        <w:t xml:space="preserve">(ii) </w:t>
      </w:r>
      <w:r w:rsidRPr="00083DCE">
        <w:rPr>
          <w:rFonts w:ascii="Arial" w:hAnsi="Arial" w:cs="Arial"/>
        </w:rPr>
        <w:tab/>
        <w:t>a randomly-drawn district judge when the case was originally assigned to a magistrate judge as the presiding judge and all parties do not timely consent in writing to the disposition of the case by a magistrate judge. When necessary, the clerk may also assign a magistrate judge to the case for judicial supervision and processing of pretrial matters.</w:t>
      </w:r>
      <w:r>
        <w:rPr>
          <w:rFonts w:ascii="Arial" w:hAnsi="Arial" w:cs="Arial"/>
        </w:rPr>
        <w:br/>
      </w:r>
    </w:p>
    <w:p w14:paraId="3FBA958C" w14:textId="77777777" w:rsidR="0080690F" w:rsidRPr="00E8533C" w:rsidRDefault="0080690F" w:rsidP="0080690F">
      <w:pPr>
        <w:pStyle w:val="ListParagraph"/>
        <w:numPr>
          <w:ilvl w:val="0"/>
          <w:numId w:val="34"/>
        </w:numPr>
        <w:ind w:hanging="720"/>
        <w:jc w:val="both"/>
        <w:outlineLvl w:val="3"/>
        <w:rPr>
          <w:rFonts w:ascii="Arial" w:hAnsi="Arial" w:cs="Arial"/>
        </w:rPr>
      </w:pPr>
      <w:bookmarkStart w:id="47" w:name="_Toc5877556"/>
      <w:bookmarkStart w:id="48" w:name="_Toc5879207"/>
      <w:bookmarkStart w:id="49" w:name="_Toc5879420"/>
      <w:bookmarkStart w:id="50" w:name="_Toc5886731"/>
      <w:bookmarkStart w:id="51" w:name="_Toc56076459"/>
      <w:r w:rsidRPr="00E8533C">
        <w:rPr>
          <w:rFonts w:ascii="Arial" w:hAnsi="Arial" w:cs="Arial"/>
          <w:b/>
          <w:bCs/>
        </w:rPr>
        <w:t>Visiting Judges</w:t>
      </w:r>
      <w:r w:rsidRPr="009E4FE2">
        <w:rPr>
          <w:rFonts w:ascii="Arial" w:hAnsi="Arial" w:cs="Arial"/>
          <w:b/>
        </w:rPr>
        <w:t>.</w:t>
      </w:r>
      <w:bookmarkEnd w:id="47"/>
      <w:bookmarkEnd w:id="48"/>
      <w:bookmarkEnd w:id="49"/>
      <w:bookmarkEnd w:id="50"/>
      <w:bookmarkEnd w:id="51"/>
      <w:r w:rsidRPr="00E8533C">
        <w:rPr>
          <w:rFonts w:ascii="Arial" w:hAnsi="Arial" w:cs="Arial"/>
        </w:rPr>
        <w:br/>
      </w:r>
    </w:p>
    <w:p w14:paraId="7407F5C5" w14:textId="77777777" w:rsidR="0080690F" w:rsidRDefault="0080690F" w:rsidP="0080690F">
      <w:pPr>
        <w:pStyle w:val="ListParagraph"/>
        <w:ind w:left="2880"/>
        <w:jc w:val="both"/>
        <w:rPr>
          <w:rFonts w:ascii="Arial" w:hAnsi="Arial" w:cs="Arial"/>
        </w:rPr>
      </w:pPr>
      <w:r w:rsidRPr="00E8533C">
        <w:rPr>
          <w:rFonts w:ascii="Arial" w:hAnsi="Arial" w:cs="Arial"/>
        </w:rPr>
        <w:t>The assigned district judge or the chief judge, with the consent of the assigned district judge, may reassign a case to a visiting district judge designated for service in this district. If the assigned district judge is disabled and unable to consent to reassignment, the chief judge may reassign a case without the district judge's consent.</w:t>
      </w:r>
      <w:r>
        <w:rPr>
          <w:rFonts w:ascii="Arial" w:hAnsi="Arial" w:cs="Arial"/>
        </w:rPr>
        <w:br/>
      </w:r>
    </w:p>
    <w:p w14:paraId="706C8591" w14:textId="77777777" w:rsidR="0080690F" w:rsidRPr="00671E64" w:rsidRDefault="0080690F" w:rsidP="0080690F">
      <w:pPr>
        <w:tabs>
          <w:tab w:val="left" w:pos="-1440"/>
        </w:tabs>
        <w:ind w:left="2160" w:hanging="720"/>
        <w:jc w:val="both"/>
        <w:outlineLvl w:val="2"/>
        <w:rPr>
          <w:rFonts w:ascii="Arial" w:hAnsi="Arial" w:cs="Arial"/>
        </w:rPr>
      </w:pPr>
      <w:bookmarkStart w:id="52" w:name="_Toc5877557"/>
      <w:bookmarkStart w:id="53" w:name="_Toc5879208"/>
      <w:bookmarkStart w:id="54" w:name="_Toc5879421"/>
      <w:bookmarkStart w:id="55" w:name="_Toc5886732"/>
      <w:bookmarkStart w:id="56" w:name="_Toc56076460"/>
      <w:r w:rsidRPr="00671E64">
        <w:rPr>
          <w:rFonts w:ascii="Arial" w:hAnsi="Arial" w:cs="Arial"/>
          <w:b/>
          <w:bCs/>
        </w:rPr>
        <w:t>(4)</w:t>
      </w:r>
      <w:r w:rsidRPr="00671E64">
        <w:rPr>
          <w:rFonts w:ascii="Arial" w:hAnsi="Arial" w:cs="Arial"/>
          <w:b/>
          <w:bCs/>
        </w:rPr>
        <w:tab/>
        <w:t>Related Cases.</w:t>
      </w:r>
      <w:bookmarkEnd w:id="52"/>
      <w:bookmarkEnd w:id="53"/>
      <w:bookmarkEnd w:id="54"/>
      <w:bookmarkEnd w:id="55"/>
      <w:bookmarkEnd w:id="56"/>
      <w:r>
        <w:rPr>
          <w:rFonts w:ascii="Arial" w:hAnsi="Arial" w:cs="Arial"/>
          <w:b/>
          <w:bCs/>
        </w:rPr>
        <w:br/>
      </w:r>
    </w:p>
    <w:p w14:paraId="0E4D0763" w14:textId="22ECEE5F" w:rsidR="0080690F" w:rsidRPr="00144B42" w:rsidRDefault="0080690F" w:rsidP="00144B42">
      <w:pPr>
        <w:pStyle w:val="ListParagraph"/>
        <w:numPr>
          <w:ilvl w:val="0"/>
          <w:numId w:val="38"/>
        </w:numPr>
        <w:tabs>
          <w:tab w:val="left" w:pos="0"/>
          <w:tab w:val="left" w:pos="720"/>
          <w:tab w:val="left" w:pos="1440"/>
          <w:tab w:val="left" w:pos="2160"/>
          <w:tab w:val="left" w:pos="2880"/>
          <w:tab w:val="left" w:pos="3600"/>
          <w:tab w:val="left" w:pos="4320"/>
          <w:tab w:val="left" w:pos="5040"/>
          <w:tab w:val="left" w:pos="5760"/>
          <w:tab w:val="left" w:pos="6480"/>
          <w:tab w:val="left" w:pos="7200"/>
        </w:tabs>
        <w:ind w:hanging="720"/>
        <w:jc w:val="both"/>
        <w:outlineLvl w:val="3"/>
        <w:rPr>
          <w:rFonts w:ascii="Arial" w:hAnsi="Arial" w:cs="Arial"/>
        </w:rPr>
      </w:pPr>
      <w:bookmarkStart w:id="57" w:name="_Toc5877558"/>
      <w:bookmarkStart w:id="58" w:name="_Toc5879209"/>
      <w:bookmarkStart w:id="59" w:name="_Toc5879422"/>
      <w:bookmarkStart w:id="60" w:name="_Toc5886733"/>
      <w:bookmarkStart w:id="61" w:name="_Toc56076461"/>
      <w:r w:rsidRPr="00144B42">
        <w:rPr>
          <w:rFonts w:ascii="Arial" w:hAnsi="Arial" w:cs="Arial"/>
          <w:b/>
          <w:bCs/>
        </w:rPr>
        <w:t>Notification.</w:t>
      </w:r>
      <w:bookmarkEnd w:id="57"/>
      <w:bookmarkEnd w:id="58"/>
      <w:bookmarkEnd w:id="59"/>
      <w:bookmarkEnd w:id="60"/>
      <w:bookmarkEnd w:id="61"/>
      <w:r w:rsidRPr="00144B42">
        <w:rPr>
          <w:rFonts w:ascii="Arial" w:hAnsi="Arial" w:cs="Arial"/>
          <w:b/>
          <w:bCs/>
        </w:rPr>
        <w:br/>
      </w:r>
    </w:p>
    <w:p w14:paraId="3C21103F" w14:textId="77777777" w:rsidR="0080690F" w:rsidRDefault="0080690F" w:rsidP="0080690F">
      <w:pPr>
        <w:ind w:left="2880"/>
        <w:jc w:val="both"/>
        <w:rPr>
          <w:rFonts w:ascii="Arial" w:hAnsi="Arial" w:cs="Arial"/>
        </w:rPr>
      </w:pPr>
      <w:r w:rsidRPr="00671E64">
        <w:rPr>
          <w:rFonts w:ascii="Arial" w:hAnsi="Arial" w:cs="Arial"/>
        </w:rPr>
        <w:t>Attorneys of record must notify the court that a case is or may be related to another pending or closed case in this court. Failure to notify the court may result in sanctions on attorneys and parties. Accordingly,</w:t>
      </w:r>
      <w:r>
        <w:rPr>
          <w:rFonts w:ascii="Arial" w:hAnsi="Arial" w:cs="Arial"/>
        </w:rPr>
        <w:br/>
      </w:r>
    </w:p>
    <w:p w14:paraId="5B790BF7" w14:textId="77777777" w:rsidR="0080690F" w:rsidRPr="00671E64" w:rsidRDefault="0080690F" w:rsidP="00144B42">
      <w:pPr>
        <w:ind w:left="3600" w:hanging="720"/>
        <w:jc w:val="both"/>
        <w:rPr>
          <w:rFonts w:ascii="Arial" w:hAnsi="Arial" w:cs="Arial"/>
        </w:rPr>
      </w:pPr>
      <w:r w:rsidRPr="00E8533C">
        <w:rPr>
          <w:rFonts w:ascii="Arial" w:hAnsi="Arial" w:cs="Arial"/>
        </w:rPr>
        <w:t>(i)</w:t>
      </w:r>
      <w:r w:rsidRPr="00671E64">
        <w:rPr>
          <w:rFonts w:ascii="Arial" w:hAnsi="Arial" w:cs="Arial"/>
        </w:rPr>
        <w:tab/>
        <w:t xml:space="preserve">on the </w:t>
      </w:r>
      <w:r w:rsidRPr="00671E64">
        <w:rPr>
          <w:rFonts w:ascii="Arial" w:hAnsi="Arial" w:cs="Arial"/>
        </w:rPr>
        <w:sym w:font="WP TypographicSymbols" w:char="0041"/>
      </w:r>
      <w:r w:rsidRPr="00671E64">
        <w:rPr>
          <w:rFonts w:ascii="Arial" w:hAnsi="Arial" w:cs="Arial"/>
        </w:rPr>
        <w:t>open unassigned case</w:t>
      </w:r>
      <w:r w:rsidRPr="00671E64">
        <w:rPr>
          <w:rFonts w:ascii="Arial" w:hAnsi="Arial" w:cs="Arial"/>
        </w:rPr>
        <w:sym w:font="WP TypographicSymbols" w:char="0040"/>
      </w:r>
      <w:r w:rsidRPr="00671E64">
        <w:rPr>
          <w:rFonts w:ascii="Arial" w:hAnsi="Arial" w:cs="Arial"/>
        </w:rPr>
        <w:t xml:space="preserve"> screen, the filer should enter </w:t>
      </w:r>
      <w:r w:rsidRPr="00671E64">
        <w:rPr>
          <w:rFonts w:ascii="Arial" w:hAnsi="Arial" w:cs="Arial"/>
        </w:rPr>
        <w:sym w:font="WP TypographicSymbols" w:char="0041"/>
      </w:r>
      <w:r w:rsidRPr="00671E64">
        <w:rPr>
          <w:rFonts w:ascii="Arial" w:hAnsi="Arial" w:cs="Arial"/>
        </w:rPr>
        <w:t>USDC-NE</w:t>
      </w:r>
      <w:r w:rsidRPr="00671E64">
        <w:rPr>
          <w:rFonts w:ascii="Arial" w:hAnsi="Arial" w:cs="Arial"/>
        </w:rPr>
        <w:sym w:font="WP TypographicSymbols" w:char="0040"/>
      </w:r>
      <w:r w:rsidRPr="00671E64">
        <w:rPr>
          <w:rFonts w:ascii="Arial" w:hAnsi="Arial" w:cs="Arial"/>
        </w:rPr>
        <w:t xml:space="preserve"> in the </w:t>
      </w:r>
      <w:r w:rsidRPr="00671E64">
        <w:rPr>
          <w:rFonts w:ascii="Arial" w:hAnsi="Arial" w:cs="Arial"/>
        </w:rPr>
        <w:sym w:font="WP TypographicSymbols" w:char="0041"/>
      </w:r>
      <w:r w:rsidRPr="00671E64">
        <w:rPr>
          <w:rFonts w:ascii="Arial" w:hAnsi="Arial" w:cs="Arial"/>
        </w:rPr>
        <w:t>other court</w:t>
      </w:r>
      <w:r w:rsidRPr="00671E64">
        <w:rPr>
          <w:rFonts w:ascii="Arial" w:hAnsi="Arial" w:cs="Arial"/>
        </w:rPr>
        <w:sym w:font="WP TypographicSymbols" w:char="0040"/>
      </w:r>
      <w:r w:rsidRPr="00671E64">
        <w:rPr>
          <w:rFonts w:ascii="Arial" w:hAnsi="Arial" w:cs="Arial"/>
        </w:rPr>
        <w:t xml:space="preserve"> name field and the number of the related case in the </w:t>
      </w:r>
      <w:r w:rsidRPr="00671E64">
        <w:rPr>
          <w:rFonts w:ascii="Arial" w:hAnsi="Arial" w:cs="Arial"/>
        </w:rPr>
        <w:sym w:font="WP TypographicSymbols" w:char="0041"/>
      </w:r>
      <w:r w:rsidRPr="00671E64">
        <w:rPr>
          <w:rFonts w:ascii="Arial" w:hAnsi="Arial" w:cs="Arial"/>
        </w:rPr>
        <w:t>other court number</w:t>
      </w:r>
      <w:r w:rsidRPr="00671E64">
        <w:rPr>
          <w:rFonts w:ascii="Arial" w:hAnsi="Arial" w:cs="Arial"/>
        </w:rPr>
        <w:sym w:font="WP TypographicSymbols" w:char="0040"/>
      </w:r>
      <w:r w:rsidRPr="00671E64">
        <w:rPr>
          <w:rFonts w:ascii="Arial" w:hAnsi="Arial" w:cs="Arial"/>
        </w:rPr>
        <w:t xml:space="preserve"> field; and</w:t>
      </w:r>
    </w:p>
    <w:p w14:paraId="4DCCDCB8" w14:textId="77777777" w:rsidR="0080690F" w:rsidRPr="00671E64" w:rsidRDefault="0080690F" w:rsidP="0080690F">
      <w:pPr>
        <w:tabs>
          <w:tab w:val="left" w:pos="0"/>
          <w:tab w:val="left" w:pos="720"/>
          <w:tab w:val="left" w:pos="1440"/>
          <w:tab w:val="left" w:pos="2160"/>
          <w:tab w:val="left" w:pos="2880"/>
          <w:tab w:val="left" w:pos="3600"/>
          <w:tab w:val="left" w:pos="4320"/>
          <w:tab w:val="left" w:pos="5040"/>
          <w:tab w:val="left" w:pos="5760"/>
          <w:tab w:val="left" w:pos="6480"/>
          <w:tab w:val="left" w:pos="7200"/>
        </w:tabs>
        <w:ind w:left="3600" w:hanging="720"/>
        <w:jc w:val="both"/>
        <w:rPr>
          <w:rFonts w:ascii="Arial" w:hAnsi="Arial" w:cs="Arial"/>
        </w:rPr>
      </w:pPr>
    </w:p>
    <w:p w14:paraId="473C5E74" w14:textId="77777777" w:rsidR="0080690F" w:rsidRPr="00E8533C" w:rsidRDefault="0080690F" w:rsidP="00144B42">
      <w:pPr>
        <w:pStyle w:val="ListParagraph"/>
        <w:numPr>
          <w:ilvl w:val="0"/>
          <w:numId w:val="37"/>
        </w:numPr>
        <w:ind w:left="3600"/>
        <w:jc w:val="both"/>
        <w:rPr>
          <w:rFonts w:ascii="Arial" w:hAnsi="Arial" w:cs="Arial"/>
        </w:rPr>
      </w:pPr>
      <w:r w:rsidRPr="00E8533C">
        <w:rPr>
          <w:rFonts w:ascii="Arial" w:hAnsi="Arial" w:cs="Arial"/>
        </w:rPr>
        <w:t>after filing, an attorney of record who learns that a case is or may be related to another pending or closed case in this court must immediately inform the clerk and the chief judge by electronically filing a notice of related cases.</w:t>
      </w:r>
    </w:p>
    <w:p w14:paraId="72005949" w14:textId="77777777" w:rsidR="0080690F" w:rsidRPr="00E8533C" w:rsidRDefault="0080690F" w:rsidP="0080690F">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3600"/>
        <w:jc w:val="both"/>
        <w:rPr>
          <w:rFonts w:ascii="Arial" w:hAnsi="Arial" w:cs="Arial"/>
        </w:rPr>
      </w:pPr>
    </w:p>
    <w:p w14:paraId="126E3ADC" w14:textId="77777777" w:rsidR="0080690F" w:rsidRPr="00E8533C" w:rsidRDefault="0080690F" w:rsidP="00144B42">
      <w:pPr>
        <w:pStyle w:val="ListParagraph"/>
        <w:numPr>
          <w:ilvl w:val="0"/>
          <w:numId w:val="38"/>
        </w:numPr>
        <w:tabs>
          <w:tab w:val="left" w:pos="0"/>
          <w:tab w:val="left" w:pos="720"/>
          <w:tab w:val="left" w:pos="1440"/>
          <w:tab w:val="left" w:pos="2160"/>
          <w:tab w:val="left" w:pos="2880"/>
          <w:tab w:val="left" w:pos="3600"/>
          <w:tab w:val="left" w:pos="4320"/>
          <w:tab w:val="left" w:pos="5040"/>
          <w:tab w:val="left" w:pos="5760"/>
          <w:tab w:val="left" w:pos="6480"/>
          <w:tab w:val="left" w:pos="7200"/>
        </w:tabs>
        <w:ind w:hanging="720"/>
        <w:jc w:val="both"/>
        <w:outlineLvl w:val="3"/>
        <w:rPr>
          <w:rFonts w:ascii="Arial" w:hAnsi="Arial" w:cs="Arial"/>
        </w:rPr>
      </w:pPr>
      <w:bookmarkStart w:id="62" w:name="_Toc5877559"/>
      <w:bookmarkStart w:id="63" w:name="_Toc5879210"/>
      <w:bookmarkStart w:id="64" w:name="_Toc5879423"/>
      <w:bookmarkStart w:id="65" w:name="_Toc5886734"/>
      <w:bookmarkStart w:id="66" w:name="_Toc56076462"/>
      <w:r w:rsidRPr="00E8533C">
        <w:rPr>
          <w:rFonts w:ascii="Arial" w:hAnsi="Arial" w:cs="Arial"/>
          <w:b/>
          <w:bCs/>
        </w:rPr>
        <w:t>Assignments.</w:t>
      </w:r>
      <w:bookmarkEnd w:id="62"/>
      <w:bookmarkEnd w:id="63"/>
      <w:bookmarkEnd w:id="64"/>
      <w:bookmarkEnd w:id="65"/>
      <w:bookmarkEnd w:id="66"/>
      <w:r w:rsidRPr="00E8533C">
        <w:rPr>
          <w:rFonts w:ascii="Arial" w:hAnsi="Arial" w:cs="Arial"/>
          <w:b/>
          <w:bCs/>
        </w:rPr>
        <w:br/>
      </w:r>
    </w:p>
    <w:p w14:paraId="29D4CEC8" w14:textId="77777777" w:rsidR="0080690F" w:rsidRDefault="0080690F" w:rsidP="0080690F">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r w:rsidRPr="00E8533C">
        <w:rPr>
          <w:rFonts w:ascii="Arial" w:hAnsi="Arial" w:cs="Arial"/>
        </w:rPr>
        <w:t>If a case is noted as related on the cover sheet or on the case opening screen when filed, the clerk assigns it to the district judge who handled the earlier pending or closed case. If the court or the clerk learns after filing that cases are or may be related, the chief judge must be informed as soon as possible. If the chief judge determines the cases are related, the higher numbered case(s) are reassigned to the district judge with the lowest numbered case unless good cause exists for not ordering the reassignment.</w:t>
      </w:r>
    </w:p>
    <w:p w14:paraId="640DA5B9" w14:textId="77777777" w:rsidR="0080690F" w:rsidRPr="00E8533C" w:rsidRDefault="0080690F" w:rsidP="0080690F">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p>
    <w:p w14:paraId="7A9B8697" w14:textId="77777777" w:rsidR="0080690F" w:rsidRPr="00E8533C" w:rsidRDefault="0080690F" w:rsidP="00144B42">
      <w:pPr>
        <w:pStyle w:val="ListParagraph"/>
        <w:numPr>
          <w:ilvl w:val="0"/>
          <w:numId w:val="38"/>
        </w:numPr>
        <w:tabs>
          <w:tab w:val="left" w:pos="0"/>
          <w:tab w:val="left" w:pos="720"/>
          <w:tab w:val="left" w:pos="1440"/>
          <w:tab w:val="left" w:pos="2160"/>
          <w:tab w:val="left" w:pos="2880"/>
          <w:tab w:val="left" w:pos="3600"/>
          <w:tab w:val="left" w:pos="4320"/>
          <w:tab w:val="left" w:pos="5040"/>
          <w:tab w:val="left" w:pos="5760"/>
          <w:tab w:val="left" w:pos="6480"/>
          <w:tab w:val="left" w:pos="7200"/>
        </w:tabs>
        <w:ind w:hanging="720"/>
        <w:jc w:val="both"/>
        <w:outlineLvl w:val="3"/>
        <w:rPr>
          <w:rFonts w:ascii="Arial" w:hAnsi="Arial" w:cs="Arial"/>
          <w:b/>
          <w:bCs/>
        </w:rPr>
      </w:pPr>
      <w:bookmarkStart w:id="67" w:name="_Toc5877560"/>
      <w:bookmarkStart w:id="68" w:name="_Toc5879211"/>
      <w:bookmarkStart w:id="69" w:name="_Toc5879424"/>
      <w:bookmarkStart w:id="70" w:name="_Toc5886735"/>
      <w:bookmarkStart w:id="71" w:name="_Toc56076463"/>
      <w:r w:rsidRPr="00671E64">
        <w:sym w:font="WP TypographicSymbols" w:char="0041"/>
      </w:r>
      <w:r w:rsidRPr="00E8533C">
        <w:rPr>
          <w:rFonts w:ascii="Arial" w:hAnsi="Arial" w:cs="Arial"/>
          <w:b/>
          <w:bCs/>
        </w:rPr>
        <w:t>Related</w:t>
      </w:r>
      <w:r w:rsidRPr="00671E64">
        <w:sym w:font="WP TypographicSymbols" w:char="0040"/>
      </w:r>
      <w:r w:rsidRPr="00E8533C">
        <w:rPr>
          <w:rFonts w:ascii="Arial" w:hAnsi="Arial" w:cs="Arial"/>
          <w:b/>
          <w:bCs/>
        </w:rPr>
        <w:t xml:space="preserve"> Cases Defined</w:t>
      </w:r>
      <w:r>
        <w:rPr>
          <w:rFonts w:ascii="Arial" w:hAnsi="Arial" w:cs="Arial"/>
          <w:b/>
          <w:bCs/>
        </w:rPr>
        <w:t>.</w:t>
      </w:r>
      <w:bookmarkEnd w:id="67"/>
      <w:bookmarkEnd w:id="68"/>
      <w:bookmarkEnd w:id="69"/>
      <w:bookmarkEnd w:id="70"/>
      <w:bookmarkEnd w:id="71"/>
    </w:p>
    <w:p w14:paraId="3B874DA2" w14:textId="77777777" w:rsidR="0080690F" w:rsidRPr="00E8533C" w:rsidRDefault="0080690F" w:rsidP="0080690F">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p>
    <w:p w14:paraId="50BA2694" w14:textId="77777777" w:rsidR="0080690F" w:rsidRDefault="0080690F" w:rsidP="0080690F">
      <w:pPr>
        <w:tabs>
          <w:tab w:val="left" w:pos="0"/>
          <w:tab w:val="left" w:pos="720"/>
          <w:tab w:val="left" w:pos="1440"/>
          <w:tab w:val="left" w:pos="2160"/>
          <w:tab w:val="left" w:pos="2880"/>
          <w:tab w:val="left" w:pos="3600"/>
          <w:tab w:val="left" w:pos="4320"/>
          <w:tab w:val="left" w:pos="5040"/>
          <w:tab w:val="left" w:pos="5760"/>
          <w:tab w:val="left" w:pos="6480"/>
          <w:tab w:val="left" w:pos="7200"/>
        </w:tabs>
        <w:ind w:left="3600" w:hanging="720"/>
        <w:jc w:val="both"/>
        <w:rPr>
          <w:rFonts w:ascii="Arial" w:hAnsi="Arial" w:cs="Arial"/>
        </w:rPr>
      </w:pPr>
      <w:r w:rsidRPr="009E4FE2">
        <w:rPr>
          <w:rFonts w:ascii="Arial" w:hAnsi="Arial" w:cs="Arial"/>
        </w:rPr>
        <w:t>(i)</w:t>
      </w:r>
      <w:r w:rsidRPr="00671E64">
        <w:rPr>
          <w:rFonts w:ascii="Arial" w:hAnsi="Arial" w:cs="Arial"/>
        </w:rPr>
        <w:t xml:space="preserve"> </w:t>
      </w:r>
      <w:r w:rsidRPr="00671E64">
        <w:rPr>
          <w:rFonts w:ascii="Arial" w:hAnsi="Arial" w:cs="Arial"/>
        </w:rPr>
        <w:tab/>
        <w:t>Open or closed criminal cases are related when some or all of the charges arise from the same general set of events. A new criminal case is related to a previous open or closed criminal case involving the same defendant when the new case arose during a period of incarceration, supervised release, probation or pretrial release based on or in the course of the previous case. A superseding indictment or information is related to the superseded indictment or information.</w:t>
      </w:r>
      <w:r>
        <w:rPr>
          <w:rFonts w:ascii="Arial" w:hAnsi="Arial" w:cs="Arial"/>
        </w:rPr>
        <w:br/>
      </w:r>
    </w:p>
    <w:p w14:paraId="1066D6BB" w14:textId="77777777" w:rsidR="0080690F" w:rsidRPr="00671E64" w:rsidRDefault="0080690F" w:rsidP="0080690F">
      <w:pPr>
        <w:ind w:left="3600" w:hanging="720"/>
        <w:jc w:val="both"/>
        <w:rPr>
          <w:rFonts w:ascii="Arial" w:hAnsi="Arial" w:cs="Arial"/>
        </w:rPr>
      </w:pPr>
      <w:r w:rsidRPr="009E4FE2">
        <w:rPr>
          <w:rFonts w:ascii="Arial" w:hAnsi="Arial" w:cs="Arial"/>
        </w:rPr>
        <w:t>(ii)</w:t>
      </w:r>
      <w:r w:rsidRPr="00671E64">
        <w:rPr>
          <w:rFonts w:ascii="Arial" w:hAnsi="Arial" w:cs="Arial"/>
        </w:rPr>
        <w:t xml:space="preserve"> </w:t>
      </w:r>
      <w:r w:rsidRPr="00671E64">
        <w:rPr>
          <w:rFonts w:ascii="Arial" w:hAnsi="Arial" w:cs="Arial"/>
        </w:rPr>
        <w:tab/>
        <w:t>Open or closed bankruptcy appeals are related when they involve some or all of the same property or the same debtor(s).</w:t>
      </w:r>
      <w:r>
        <w:rPr>
          <w:rFonts w:ascii="Arial" w:hAnsi="Arial" w:cs="Arial"/>
        </w:rPr>
        <w:br/>
      </w:r>
    </w:p>
    <w:p w14:paraId="54488B0A" w14:textId="77777777" w:rsidR="0080690F" w:rsidRPr="00671E64" w:rsidRDefault="0080690F" w:rsidP="0080690F">
      <w:pPr>
        <w:ind w:left="3600" w:hanging="720"/>
        <w:jc w:val="both"/>
        <w:rPr>
          <w:rFonts w:ascii="Arial" w:hAnsi="Arial" w:cs="Arial"/>
        </w:rPr>
      </w:pPr>
      <w:r w:rsidRPr="009E4FE2">
        <w:rPr>
          <w:rFonts w:ascii="Arial" w:hAnsi="Arial" w:cs="Arial"/>
        </w:rPr>
        <w:t>(iii)</w:t>
      </w:r>
      <w:r w:rsidRPr="00671E64">
        <w:rPr>
          <w:rFonts w:ascii="Arial" w:hAnsi="Arial" w:cs="Arial"/>
        </w:rPr>
        <w:t xml:space="preserve"> </w:t>
      </w:r>
      <w:r w:rsidRPr="00671E64">
        <w:rPr>
          <w:rFonts w:ascii="Arial" w:hAnsi="Arial" w:cs="Arial"/>
        </w:rPr>
        <w:tab/>
        <w:t>Open or closed civil cases are related when they involve some or all of the same issues of fact, arise out of the same transaction, or involve the validity or infringement of the same patent.</w:t>
      </w:r>
      <w:r>
        <w:rPr>
          <w:rFonts w:ascii="Arial" w:hAnsi="Arial" w:cs="Arial"/>
        </w:rPr>
        <w:br/>
      </w:r>
    </w:p>
    <w:p w14:paraId="7E0AE6EE" w14:textId="77777777" w:rsidR="0080690F" w:rsidRPr="00E8533C" w:rsidRDefault="0080690F" w:rsidP="0080690F">
      <w:pPr>
        <w:pStyle w:val="ListParagraph"/>
        <w:numPr>
          <w:ilvl w:val="0"/>
          <w:numId w:val="20"/>
        </w:numPr>
        <w:jc w:val="both"/>
        <w:rPr>
          <w:rFonts w:ascii="Arial" w:hAnsi="Arial" w:cs="Arial"/>
        </w:rPr>
      </w:pPr>
      <w:r w:rsidRPr="00E8533C">
        <w:rPr>
          <w:rFonts w:ascii="Arial" w:hAnsi="Arial" w:cs="Arial"/>
        </w:rPr>
        <w:t>Civil cases are not related to criminal cases.</w:t>
      </w:r>
      <w:r>
        <w:rPr>
          <w:rFonts w:ascii="Arial" w:hAnsi="Arial" w:cs="Arial"/>
        </w:rPr>
        <w:br/>
      </w:r>
    </w:p>
    <w:p w14:paraId="034A32AC" w14:textId="77777777" w:rsidR="0080690F" w:rsidRPr="001D1BF0" w:rsidRDefault="0080690F" w:rsidP="0080690F">
      <w:pPr>
        <w:ind w:left="2160" w:hanging="720"/>
        <w:jc w:val="both"/>
        <w:outlineLvl w:val="2"/>
        <w:rPr>
          <w:rFonts w:ascii="Arial" w:hAnsi="Arial" w:cs="Arial"/>
          <w:b/>
          <w:bCs/>
        </w:rPr>
      </w:pPr>
      <w:bookmarkStart w:id="72" w:name="_Toc5877561"/>
      <w:bookmarkStart w:id="73" w:name="_Toc5879212"/>
      <w:bookmarkStart w:id="74" w:name="_Toc5879425"/>
      <w:bookmarkStart w:id="75" w:name="_Toc5886736"/>
      <w:bookmarkStart w:id="76" w:name="_Toc56076464"/>
      <w:r w:rsidRPr="00671E64">
        <w:rPr>
          <w:rFonts w:ascii="Arial" w:hAnsi="Arial" w:cs="Arial"/>
          <w:b/>
          <w:bCs/>
        </w:rPr>
        <w:t>(</w:t>
      </w:r>
      <w:r>
        <w:rPr>
          <w:rFonts w:ascii="Arial" w:hAnsi="Arial" w:cs="Arial"/>
          <w:b/>
          <w:bCs/>
        </w:rPr>
        <w:t>5</w:t>
      </w:r>
      <w:r w:rsidRPr="00671E64">
        <w:rPr>
          <w:rFonts w:ascii="Arial" w:hAnsi="Arial" w:cs="Arial"/>
          <w:b/>
          <w:bCs/>
        </w:rPr>
        <w:t>)</w:t>
      </w:r>
      <w:r>
        <w:rPr>
          <w:rFonts w:ascii="Arial" w:hAnsi="Arial" w:cs="Arial"/>
          <w:b/>
          <w:bCs/>
        </w:rPr>
        <w:tab/>
      </w:r>
      <w:r w:rsidRPr="001D1BF0">
        <w:rPr>
          <w:rFonts w:ascii="Arial" w:hAnsi="Arial" w:cs="Arial"/>
          <w:b/>
          <w:bCs/>
        </w:rPr>
        <w:t>The Nebraska Docket.</w:t>
      </w:r>
      <w:bookmarkEnd w:id="72"/>
      <w:bookmarkEnd w:id="73"/>
      <w:bookmarkEnd w:id="74"/>
      <w:bookmarkEnd w:id="75"/>
      <w:bookmarkEnd w:id="76"/>
      <w:r w:rsidRPr="001D1BF0">
        <w:rPr>
          <w:rFonts w:ascii="Arial" w:hAnsi="Arial" w:cs="Arial"/>
          <w:b/>
          <w:bCs/>
        </w:rPr>
        <w:br/>
      </w:r>
    </w:p>
    <w:p w14:paraId="5086ADDA" w14:textId="77777777" w:rsidR="0080690F" w:rsidRPr="00E8533C" w:rsidRDefault="0080690F" w:rsidP="0080690F">
      <w:pPr>
        <w:pStyle w:val="ListParagraph"/>
        <w:numPr>
          <w:ilvl w:val="0"/>
          <w:numId w:val="18"/>
        </w:numPr>
        <w:jc w:val="both"/>
        <w:outlineLvl w:val="3"/>
        <w:rPr>
          <w:rFonts w:ascii="Arial" w:hAnsi="Arial" w:cs="Arial"/>
        </w:rPr>
      </w:pPr>
      <w:bookmarkStart w:id="77" w:name="_Toc5877562"/>
      <w:bookmarkStart w:id="78" w:name="_Toc5879213"/>
      <w:bookmarkStart w:id="79" w:name="_Toc5879426"/>
      <w:bookmarkStart w:id="80" w:name="_Toc5886737"/>
      <w:bookmarkStart w:id="81" w:name="_Toc56076465"/>
      <w:r w:rsidRPr="00E8533C">
        <w:rPr>
          <w:rFonts w:ascii="Arial" w:hAnsi="Arial" w:cs="Arial"/>
          <w:b/>
          <w:bCs/>
        </w:rPr>
        <w:t>Applicable Cases.</w:t>
      </w:r>
      <w:bookmarkEnd w:id="77"/>
      <w:bookmarkEnd w:id="78"/>
      <w:bookmarkEnd w:id="79"/>
      <w:bookmarkEnd w:id="80"/>
      <w:bookmarkEnd w:id="81"/>
      <w:r w:rsidRPr="00E8533C">
        <w:rPr>
          <w:rFonts w:ascii="Arial" w:hAnsi="Arial" w:cs="Arial"/>
          <w:b/>
          <w:bCs/>
        </w:rPr>
        <w:br/>
      </w:r>
    </w:p>
    <w:p w14:paraId="59C854F8" w14:textId="77777777" w:rsidR="0080690F" w:rsidRDefault="0080690F" w:rsidP="0080690F">
      <w:pPr>
        <w:pStyle w:val="ListParagraph"/>
        <w:ind w:left="2880"/>
        <w:jc w:val="both"/>
        <w:rPr>
          <w:rFonts w:ascii="Arial" w:hAnsi="Arial" w:cs="Arial"/>
        </w:rPr>
      </w:pPr>
      <w:r w:rsidRPr="00E8533C">
        <w:rPr>
          <w:rFonts w:ascii="Arial" w:hAnsi="Arial" w:cs="Arial"/>
        </w:rPr>
        <w:t xml:space="preserve">Except for cases challenging the death penalty under 28 U.S.C. </w:t>
      </w:r>
      <w:r w:rsidRPr="00671E64">
        <w:sym w:font="WP TypographicSymbols" w:char="0027"/>
      </w:r>
      <w:r w:rsidRPr="00E8533C">
        <w:rPr>
          <w:rFonts w:ascii="Arial" w:hAnsi="Arial" w:cs="Arial"/>
        </w:rPr>
        <w:t xml:space="preserve"> 2254, cases in which North Platte is designated as the place of trial, and cases involving social security or bankruptcy appeals, civil cases are placed on one docket called the </w:t>
      </w:r>
      <w:r w:rsidRPr="00671E64">
        <w:sym w:font="WP TypographicSymbols" w:char="0041"/>
      </w:r>
      <w:r w:rsidRPr="00E8533C">
        <w:rPr>
          <w:rFonts w:ascii="Arial" w:hAnsi="Arial" w:cs="Arial"/>
        </w:rPr>
        <w:t>Nebraska docket</w:t>
      </w:r>
      <w:r w:rsidRPr="00671E64">
        <w:sym w:font="WP TypographicSymbols" w:char="0040"/>
      </w:r>
      <w:r w:rsidRPr="00E8533C">
        <w:rPr>
          <w:rFonts w:ascii="Arial" w:hAnsi="Arial" w:cs="Arial"/>
        </w:rPr>
        <w:t xml:space="preserve"> if:</w:t>
      </w:r>
      <w:r>
        <w:rPr>
          <w:rFonts w:ascii="Arial" w:hAnsi="Arial" w:cs="Arial"/>
        </w:rPr>
        <w:br/>
      </w:r>
    </w:p>
    <w:p w14:paraId="75709797" w14:textId="77777777" w:rsidR="0080690F" w:rsidRDefault="0080690F" w:rsidP="0080690F">
      <w:pPr>
        <w:ind w:left="3600" w:hanging="720"/>
        <w:jc w:val="both"/>
        <w:rPr>
          <w:rFonts w:ascii="Arial" w:hAnsi="Arial" w:cs="Arial"/>
        </w:rPr>
      </w:pPr>
      <w:r w:rsidRPr="009E4FE2">
        <w:rPr>
          <w:rFonts w:ascii="Arial" w:hAnsi="Arial" w:cs="Arial"/>
        </w:rPr>
        <w:t>(i)</w:t>
      </w:r>
      <w:r w:rsidRPr="00671E64">
        <w:rPr>
          <w:rFonts w:ascii="Arial" w:hAnsi="Arial" w:cs="Arial"/>
        </w:rPr>
        <w:t xml:space="preserve"> </w:t>
      </w:r>
      <w:r w:rsidRPr="00671E64">
        <w:rPr>
          <w:rFonts w:ascii="Arial" w:hAnsi="Arial" w:cs="Arial"/>
        </w:rPr>
        <w:tab/>
        <w:t>the State of Nebraska or any of its agencies are named defendants in the original complaint;</w:t>
      </w:r>
      <w:r>
        <w:rPr>
          <w:rFonts w:ascii="Arial" w:hAnsi="Arial" w:cs="Arial"/>
        </w:rPr>
        <w:br/>
      </w:r>
    </w:p>
    <w:p w14:paraId="7B747277" w14:textId="77777777" w:rsidR="0080690F" w:rsidRPr="00671E64" w:rsidRDefault="0080690F" w:rsidP="0080690F">
      <w:pPr>
        <w:ind w:left="3600" w:hanging="720"/>
        <w:jc w:val="both"/>
        <w:rPr>
          <w:rFonts w:ascii="Arial" w:hAnsi="Arial" w:cs="Arial"/>
        </w:rPr>
      </w:pPr>
      <w:r w:rsidRPr="009E4FE2">
        <w:rPr>
          <w:rFonts w:ascii="Arial" w:hAnsi="Arial" w:cs="Arial"/>
        </w:rPr>
        <w:t>(ii)</w:t>
      </w:r>
      <w:r w:rsidRPr="00671E64">
        <w:rPr>
          <w:rFonts w:ascii="Arial" w:hAnsi="Arial" w:cs="Arial"/>
        </w:rPr>
        <w:tab/>
        <w:t>a named defendant in the original complaint is being sued for acts or omissions that allegedly occurred while the defendant was allegedly an employee of the State of Nebraska or one of its agencies;</w:t>
      </w:r>
      <w:r>
        <w:rPr>
          <w:rFonts w:ascii="Arial" w:hAnsi="Arial" w:cs="Arial"/>
        </w:rPr>
        <w:br/>
      </w:r>
    </w:p>
    <w:p w14:paraId="3D582DC0" w14:textId="77777777" w:rsidR="0080690F" w:rsidRPr="00671E64" w:rsidRDefault="0080690F" w:rsidP="0080690F">
      <w:pPr>
        <w:ind w:left="3600" w:hanging="720"/>
        <w:jc w:val="both"/>
        <w:rPr>
          <w:rFonts w:ascii="Arial" w:hAnsi="Arial" w:cs="Arial"/>
        </w:rPr>
      </w:pPr>
      <w:r w:rsidRPr="009E4FE2">
        <w:rPr>
          <w:rFonts w:ascii="Arial" w:hAnsi="Arial" w:cs="Arial"/>
        </w:rPr>
        <w:t>(iii)</w:t>
      </w:r>
      <w:r w:rsidRPr="00671E64">
        <w:rPr>
          <w:rFonts w:ascii="Arial" w:hAnsi="Arial" w:cs="Arial"/>
        </w:rPr>
        <w:tab/>
        <w:t>the plaintiff is the United States of America;</w:t>
      </w:r>
      <w:r>
        <w:rPr>
          <w:rFonts w:ascii="Arial" w:hAnsi="Arial" w:cs="Arial"/>
        </w:rPr>
        <w:br/>
      </w:r>
    </w:p>
    <w:p w14:paraId="7ADFF597" w14:textId="77777777" w:rsidR="0080690F" w:rsidRPr="00671E64" w:rsidRDefault="0080690F" w:rsidP="0080690F">
      <w:pPr>
        <w:ind w:left="3600" w:hanging="720"/>
        <w:jc w:val="both"/>
        <w:rPr>
          <w:rFonts w:ascii="Arial" w:hAnsi="Arial" w:cs="Arial"/>
        </w:rPr>
      </w:pPr>
      <w:r w:rsidRPr="009E4FE2">
        <w:rPr>
          <w:rFonts w:ascii="Arial" w:hAnsi="Arial" w:cs="Arial"/>
        </w:rPr>
        <w:t>(iv)</w:t>
      </w:r>
      <w:r w:rsidRPr="00671E64">
        <w:rPr>
          <w:rFonts w:ascii="Arial" w:hAnsi="Arial" w:cs="Arial"/>
        </w:rPr>
        <w:tab/>
        <w:t>the plaintiff is pro se when the case is filed; or</w:t>
      </w:r>
      <w:r>
        <w:rPr>
          <w:rFonts w:ascii="Arial" w:hAnsi="Arial" w:cs="Arial"/>
        </w:rPr>
        <w:br/>
      </w:r>
    </w:p>
    <w:p w14:paraId="7CDD8FB2" w14:textId="77777777" w:rsidR="0080690F" w:rsidRPr="00E8533C" w:rsidRDefault="0080690F" w:rsidP="0080690F">
      <w:pPr>
        <w:pStyle w:val="ListParagraph"/>
        <w:numPr>
          <w:ilvl w:val="0"/>
          <w:numId w:val="20"/>
        </w:numPr>
        <w:jc w:val="both"/>
        <w:rPr>
          <w:rFonts w:ascii="Arial" w:hAnsi="Arial" w:cs="Arial"/>
        </w:rPr>
      </w:pPr>
      <w:r w:rsidRPr="00E8533C">
        <w:rPr>
          <w:rFonts w:ascii="Arial" w:hAnsi="Arial" w:cs="Arial"/>
        </w:rPr>
        <w:t>the plaintiff is a prisoner in state custody when the case is filed.</w:t>
      </w:r>
    </w:p>
    <w:p w14:paraId="5ADEAAF4" w14:textId="77777777" w:rsidR="0080690F" w:rsidRPr="00E8533C" w:rsidRDefault="0080690F" w:rsidP="0080690F">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3600"/>
        <w:jc w:val="both"/>
        <w:rPr>
          <w:rFonts w:ascii="Arial" w:hAnsi="Arial" w:cs="Arial"/>
        </w:rPr>
      </w:pPr>
    </w:p>
    <w:p w14:paraId="2B514642" w14:textId="77777777" w:rsidR="0080690F" w:rsidRPr="00E8533C" w:rsidRDefault="0080690F" w:rsidP="0080690F">
      <w:pPr>
        <w:pStyle w:val="ListParagraph"/>
        <w:numPr>
          <w:ilvl w:val="0"/>
          <w:numId w:val="18"/>
        </w:numPr>
        <w:jc w:val="both"/>
        <w:outlineLvl w:val="3"/>
        <w:rPr>
          <w:rFonts w:ascii="Arial" w:hAnsi="Arial" w:cs="Arial"/>
          <w:b/>
          <w:bCs/>
        </w:rPr>
      </w:pPr>
      <w:bookmarkStart w:id="82" w:name="_Toc5877563"/>
      <w:bookmarkStart w:id="83" w:name="_Toc5879214"/>
      <w:bookmarkStart w:id="84" w:name="_Toc5879427"/>
      <w:bookmarkStart w:id="85" w:name="_Toc5886738"/>
      <w:bookmarkStart w:id="86" w:name="_Toc56076466"/>
      <w:r w:rsidRPr="00E8533C">
        <w:rPr>
          <w:rFonts w:ascii="Arial" w:hAnsi="Arial" w:cs="Arial"/>
          <w:b/>
          <w:bCs/>
        </w:rPr>
        <w:t>Application Notes.</w:t>
      </w:r>
      <w:bookmarkEnd w:id="82"/>
      <w:bookmarkEnd w:id="83"/>
      <w:bookmarkEnd w:id="84"/>
      <w:bookmarkEnd w:id="85"/>
      <w:bookmarkEnd w:id="86"/>
      <w:r>
        <w:rPr>
          <w:rFonts w:ascii="Arial" w:hAnsi="Arial" w:cs="Arial"/>
          <w:b/>
          <w:bCs/>
        </w:rPr>
        <w:br/>
      </w:r>
    </w:p>
    <w:p w14:paraId="68010FDD" w14:textId="77777777" w:rsidR="0080690F" w:rsidRPr="00671E64" w:rsidRDefault="0080690F" w:rsidP="0080690F">
      <w:pPr>
        <w:ind w:left="3600" w:hanging="720"/>
        <w:jc w:val="both"/>
        <w:rPr>
          <w:rFonts w:ascii="Arial" w:hAnsi="Arial" w:cs="Arial"/>
        </w:rPr>
      </w:pPr>
      <w:r w:rsidRPr="00C14431">
        <w:rPr>
          <w:rFonts w:ascii="Arial" w:hAnsi="Arial" w:cs="Arial"/>
        </w:rPr>
        <w:t>(i)</w:t>
      </w:r>
      <w:r w:rsidRPr="00671E64">
        <w:rPr>
          <w:rFonts w:ascii="Arial" w:hAnsi="Arial" w:cs="Arial"/>
        </w:rPr>
        <w:tab/>
        <w:t xml:space="preserve">An </w:t>
      </w:r>
      <w:r w:rsidRPr="00671E64">
        <w:rPr>
          <w:rFonts w:ascii="Arial" w:hAnsi="Arial" w:cs="Arial"/>
        </w:rPr>
        <w:sym w:font="WP TypographicSymbols" w:char="0041"/>
      </w:r>
      <w:r w:rsidRPr="00671E64">
        <w:rPr>
          <w:rFonts w:ascii="Arial" w:hAnsi="Arial" w:cs="Arial"/>
        </w:rPr>
        <w:t>agency</w:t>
      </w:r>
      <w:r w:rsidRPr="00671E64">
        <w:rPr>
          <w:rFonts w:ascii="Arial" w:hAnsi="Arial" w:cs="Arial"/>
        </w:rPr>
        <w:sym w:font="WP TypographicSymbols" w:char="0040"/>
      </w:r>
      <w:r w:rsidRPr="00671E64">
        <w:rPr>
          <w:rFonts w:ascii="Arial" w:hAnsi="Arial" w:cs="Arial"/>
        </w:rPr>
        <w:t xml:space="preserve"> of the State of Nebraska does not include local political subdivisions such as cities or counties, natural resource districts, public power districts, or similar entities.</w:t>
      </w:r>
      <w:r>
        <w:rPr>
          <w:rFonts w:ascii="Arial" w:hAnsi="Arial" w:cs="Arial"/>
        </w:rPr>
        <w:br/>
      </w:r>
    </w:p>
    <w:p w14:paraId="0BCA92D7" w14:textId="77777777" w:rsidR="0080690F" w:rsidRPr="00671E64" w:rsidRDefault="0080690F" w:rsidP="0080690F">
      <w:pPr>
        <w:ind w:left="3600" w:hanging="720"/>
        <w:jc w:val="both"/>
        <w:rPr>
          <w:rFonts w:ascii="Arial" w:hAnsi="Arial" w:cs="Arial"/>
        </w:rPr>
      </w:pPr>
      <w:r w:rsidRPr="00C14431">
        <w:rPr>
          <w:rFonts w:ascii="Arial" w:hAnsi="Arial" w:cs="Arial"/>
        </w:rPr>
        <w:t>(ii)</w:t>
      </w:r>
      <w:r w:rsidRPr="00671E64">
        <w:rPr>
          <w:rFonts w:ascii="Arial" w:hAnsi="Arial" w:cs="Arial"/>
        </w:rPr>
        <w:tab/>
        <w:t xml:space="preserve">Motions filed under 28 U.S.C. </w:t>
      </w:r>
      <w:r w:rsidRPr="00671E64">
        <w:rPr>
          <w:rFonts w:ascii="Arial" w:hAnsi="Arial" w:cs="Arial"/>
        </w:rPr>
        <w:sym w:font="WP TypographicSymbols" w:char="0027"/>
      </w:r>
      <w:r w:rsidRPr="00671E64">
        <w:rPr>
          <w:rFonts w:ascii="Arial" w:hAnsi="Arial" w:cs="Arial"/>
        </w:rPr>
        <w:t xml:space="preserve"> 2255 are not civil cases for purposes of this rule.</w:t>
      </w:r>
      <w:r>
        <w:rPr>
          <w:rFonts w:ascii="Arial" w:hAnsi="Arial" w:cs="Arial"/>
        </w:rPr>
        <w:br/>
      </w:r>
    </w:p>
    <w:p w14:paraId="756FF7C0" w14:textId="77777777" w:rsidR="0080690F" w:rsidRPr="00E8533C" w:rsidRDefault="0080690F" w:rsidP="0080690F">
      <w:pPr>
        <w:pStyle w:val="ListParagraph"/>
        <w:numPr>
          <w:ilvl w:val="0"/>
          <w:numId w:val="21"/>
        </w:numPr>
        <w:jc w:val="both"/>
        <w:rPr>
          <w:rFonts w:ascii="Arial" w:hAnsi="Arial" w:cs="Arial"/>
        </w:rPr>
      </w:pPr>
      <w:r w:rsidRPr="00E8533C">
        <w:rPr>
          <w:rFonts w:ascii="Arial" w:hAnsi="Arial" w:cs="Arial"/>
        </w:rPr>
        <w:t>If the clerk does not know if a case is properly placed in the Nebraska docket, the clerk may ask the chief judge, whose decision is final.</w:t>
      </w:r>
    </w:p>
    <w:p w14:paraId="6380830C" w14:textId="77777777" w:rsidR="0080690F" w:rsidRPr="00E8533C" w:rsidRDefault="0080690F" w:rsidP="0080690F">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3600"/>
        <w:jc w:val="both"/>
        <w:rPr>
          <w:rFonts w:ascii="Arial" w:hAnsi="Arial" w:cs="Arial"/>
        </w:rPr>
      </w:pPr>
    </w:p>
    <w:p w14:paraId="54305EC4" w14:textId="77777777" w:rsidR="0080690F" w:rsidRPr="00E8533C" w:rsidRDefault="0080690F" w:rsidP="0080690F">
      <w:pPr>
        <w:pStyle w:val="ListParagraph"/>
        <w:numPr>
          <w:ilvl w:val="0"/>
          <w:numId w:val="18"/>
        </w:numPr>
        <w:jc w:val="both"/>
        <w:outlineLvl w:val="3"/>
        <w:rPr>
          <w:rFonts w:ascii="Arial" w:hAnsi="Arial" w:cs="Arial"/>
        </w:rPr>
      </w:pPr>
      <w:bookmarkStart w:id="87" w:name="_Toc5877564"/>
      <w:bookmarkStart w:id="88" w:name="_Toc5879215"/>
      <w:bookmarkStart w:id="89" w:name="_Toc5879428"/>
      <w:bookmarkStart w:id="90" w:name="_Toc5886739"/>
      <w:bookmarkStart w:id="91" w:name="_Toc56076467"/>
      <w:r w:rsidRPr="00E8533C">
        <w:rPr>
          <w:rFonts w:ascii="Arial" w:hAnsi="Arial" w:cs="Arial"/>
          <w:b/>
          <w:bCs/>
        </w:rPr>
        <w:t>Place of Trial.</w:t>
      </w:r>
      <w:bookmarkEnd w:id="87"/>
      <w:bookmarkEnd w:id="88"/>
      <w:bookmarkEnd w:id="89"/>
      <w:bookmarkEnd w:id="90"/>
      <w:bookmarkEnd w:id="91"/>
      <w:r w:rsidRPr="00E8533C">
        <w:rPr>
          <w:rFonts w:ascii="Arial" w:hAnsi="Arial" w:cs="Arial"/>
          <w:b/>
          <w:bCs/>
        </w:rPr>
        <w:br/>
      </w:r>
    </w:p>
    <w:p w14:paraId="5EB06542" w14:textId="77777777" w:rsidR="0080690F" w:rsidRDefault="0080690F" w:rsidP="0080690F">
      <w:pPr>
        <w:pStyle w:val="ListParagraph"/>
        <w:ind w:left="2880"/>
        <w:jc w:val="both"/>
        <w:rPr>
          <w:rFonts w:ascii="Arial" w:hAnsi="Arial" w:cs="Arial"/>
        </w:rPr>
      </w:pPr>
      <w:r w:rsidRPr="00E8533C">
        <w:rPr>
          <w:rFonts w:ascii="Arial" w:hAnsi="Arial" w:cs="Arial"/>
        </w:rPr>
        <w:t>The district judge handling a Nebraska docket case may try the case in Omaha or Lincoln, regardless of the place designated for trial, after considering the convenience of the parties, lawyers, witnesses, and other related matters.</w:t>
      </w:r>
      <w:r>
        <w:rPr>
          <w:rFonts w:ascii="Arial" w:hAnsi="Arial" w:cs="Arial"/>
        </w:rPr>
        <w:br/>
      </w:r>
    </w:p>
    <w:p w14:paraId="30298FEF" w14:textId="77777777" w:rsidR="0080690F" w:rsidRPr="00E8533C" w:rsidRDefault="0080690F" w:rsidP="0080690F">
      <w:pPr>
        <w:pStyle w:val="ListParagraph"/>
        <w:numPr>
          <w:ilvl w:val="0"/>
          <w:numId w:val="18"/>
        </w:numPr>
        <w:jc w:val="both"/>
        <w:outlineLvl w:val="3"/>
        <w:rPr>
          <w:rFonts w:ascii="Arial" w:hAnsi="Arial" w:cs="Arial"/>
        </w:rPr>
      </w:pPr>
      <w:bookmarkStart w:id="92" w:name="_Toc5877565"/>
      <w:bookmarkStart w:id="93" w:name="_Toc5879216"/>
      <w:bookmarkStart w:id="94" w:name="_Toc5879429"/>
      <w:bookmarkStart w:id="95" w:name="_Toc5886740"/>
      <w:bookmarkStart w:id="96" w:name="_Toc56076468"/>
      <w:r w:rsidRPr="00E8533C">
        <w:rPr>
          <w:rFonts w:ascii="Arial" w:hAnsi="Arial" w:cs="Arial"/>
          <w:b/>
          <w:bCs/>
        </w:rPr>
        <w:t>Jury Selection.</w:t>
      </w:r>
      <w:bookmarkEnd w:id="92"/>
      <w:bookmarkEnd w:id="93"/>
      <w:bookmarkEnd w:id="94"/>
      <w:bookmarkEnd w:id="95"/>
      <w:bookmarkEnd w:id="96"/>
      <w:r w:rsidRPr="00E8533C">
        <w:rPr>
          <w:rFonts w:ascii="Arial" w:hAnsi="Arial" w:cs="Arial"/>
          <w:b/>
          <w:bCs/>
        </w:rPr>
        <w:br/>
      </w:r>
    </w:p>
    <w:p w14:paraId="4583A070" w14:textId="77777777" w:rsidR="0080690F" w:rsidRDefault="0080690F" w:rsidP="0080690F">
      <w:pPr>
        <w:pStyle w:val="ListParagraph"/>
        <w:ind w:left="2880"/>
        <w:jc w:val="both"/>
        <w:rPr>
          <w:rFonts w:ascii="Arial" w:hAnsi="Arial" w:cs="Arial"/>
        </w:rPr>
      </w:pPr>
      <w:r w:rsidRPr="00E8533C">
        <w:rPr>
          <w:rFonts w:ascii="Arial" w:hAnsi="Arial" w:cs="Arial"/>
        </w:rPr>
        <w:lastRenderedPageBreak/>
        <w:t>All juries in Nebraska docket cases are selected from the jury pool used where the case is tried.</w:t>
      </w:r>
      <w:r>
        <w:rPr>
          <w:rFonts w:ascii="Arial" w:hAnsi="Arial" w:cs="Arial"/>
        </w:rPr>
        <w:br/>
      </w:r>
    </w:p>
    <w:p w14:paraId="65AEAFA5" w14:textId="77777777" w:rsidR="0080690F" w:rsidRPr="00E8533C" w:rsidRDefault="0080690F" w:rsidP="00144B42">
      <w:pPr>
        <w:pStyle w:val="ListParagraph"/>
        <w:numPr>
          <w:ilvl w:val="0"/>
          <w:numId w:val="40"/>
        </w:numPr>
        <w:tabs>
          <w:tab w:val="left" w:pos="0"/>
          <w:tab w:val="left" w:pos="720"/>
          <w:tab w:val="left" w:pos="1440"/>
          <w:tab w:val="left" w:pos="2160"/>
          <w:tab w:val="left" w:pos="2880"/>
          <w:tab w:val="left" w:pos="3600"/>
          <w:tab w:val="left" w:pos="4320"/>
          <w:tab w:val="left" w:pos="5040"/>
          <w:tab w:val="left" w:pos="5760"/>
          <w:tab w:val="left" w:pos="6480"/>
          <w:tab w:val="left" w:pos="7200"/>
        </w:tabs>
        <w:ind w:left="2160"/>
        <w:jc w:val="both"/>
        <w:outlineLvl w:val="2"/>
        <w:rPr>
          <w:rFonts w:ascii="Arial" w:hAnsi="Arial" w:cs="Arial"/>
          <w:b/>
          <w:bCs/>
        </w:rPr>
      </w:pPr>
      <w:bookmarkStart w:id="97" w:name="_Toc5877566"/>
      <w:bookmarkStart w:id="98" w:name="_Toc5879217"/>
      <w:bookmarkStart w:id="99" w:name="_Toc5879430"/>
      <w:bookmarkStart w:id="100" w:name="_Toc5886741"/>
      <w:bookmarkStart w:id="101" w:name="_Toc56076469"/>
      <w:r w:rsidRPr="00E8533C">
        <w:rPr>
          <w:rFonts w:ascii="Arial" w:hAnsi="Arial" w:cs="Arial"/>
          <w:b/>
          <w:bCs/>
        </w:rPr>
        <w:t>Death Penalty Cases.</w:t>
      </w:r>
      <w:bookmarkEnd w:id="97"/>
      <w:bookmarkEnd w:id="98"/>
      <w:bookmarkEnd w:id="99"/>
      <w:bookmarkEnd w:id="100"/>
      <w:bookmarkEnd w:id="101"/>
    </w:p>
    <w:p w14:paraId="7995274D" w14:textId="77777777" w:rsidR="0080690F" w:rsidRPr="00E8533C" w:rsidRDefault="0080690F" w:rsidP="0080690F">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160"/>
        <w:jc w:val="both"/>
        <w:rPr>
          <w:rFonts w:ascii="Arial" w:hAnsi="Arial" w:cs="Arial"/>
        </w:rPr>
      </w:pPr>
    </w:p>
    <w:p w14:paraId="6A11B76C" w14:textId="77777777" w:rsidR="0080690F" w:rsidRPr="00E8533C" w:rsidRDefault="0080690F" w:rsidP="0080690F">
      <w:pPr>
        <w:pStyle w:val="ListParagraph"/>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s>
        <w:jc w:val="both"/>
        <w:outlineLvl w:val="3"/>
        <w:rPr>
          <w:rFonts w:ascii="Arial" w:hAnsi="Arial" w:cs="Arial"/>
        </w:rPr>
      </w:pPr>
      <w:bookmarkStart w:id="102" w:name="_Toc5877567"/>
      <w:bookmarkStart w:id="103" w:name="_Toc5879218"/>
      <w:bookmarkStart w:id="104" w:name="_Toc5879431"/>
      <w:bookmarkStart w:id="105" w:name="_Toc5886742"/>
      <w:bookmarkStart w:id="106" w:name="_Toc56076470"/>
      <w:r w:rsidRPr="00E8533C">
        <w:rPr>
          <w:rFonts w:ascii="Arial" w:hAnsi="Arial" w:cs="Arial"/>
          <w:b/>
          <w:bCs/>
        </w:rPr>
        <w:t>Location of Proceedings.</w:t>
      </w:r>
      <w:bookmarkEnd w:id="102"/>
      <w:bookmarkEnd w:id="103"/>
      <w:bookmarkEnd w:id="104"/>
      <w:bookmarkEnd w:id="105"/>
      <w:bookmarkEnd w:id="106"/>
      <w:r w:rsidRPr="00E8533C">
        <w:rPr>
          <w:rFonts w:ascii="Arial" w:hAnsi="Arial" w:cs="Arial"/>
          <w:b/>
          <w:bCs/>
        </w:rPr>
        <w:br/>
      </w:r>
    </w:p>
    <w:p w14:paraId="44B68D37" w14:textId="77777777" w:rsidR="0080690F" w:rsidRDefault="0080690F" w:rsidP="0080690F">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r w:rsidRPr="00E8533C">
        <w:rPr>
          <w:rFonts w:ascii="Arial" w:hAnsi="Arial" w:cs="Arial"/>
        </w:rPr>
        <w:t>The assigned district judge may decide the location of all proceedings, regardless of the location designated for trial.</w:t>
      </w:r>
    </w:p>
    <w:p w14:paraId="2A544ECC" w14:textId="77777777" w:rsidR="0080690F" w:rsidRPr="00E8533C" w:rsidRDefault="0080690F" w:rsidP="0080690F">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p>
    <w:p w14:paraId="7F5FBD73" w14:textId="77777777" w:rsidR="0080690F" w:rsidRPr="00C14431" w:rsidRDefault="0080690F" w:rsidP="0080690F">
      <w:pPr>
        <w:pStyle w:val="ListParagraph"/>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s>
        <w:jc w:val="both"/>
        <w:outlineLvl w:val="3"/>
        <w:rPr>
          <w:rFonts w:ascii="Arial" w:hAnsi="Arial" w:cs="Arial"/>
        </w:rPr>
      </w:pPr>
      <w:bookmarkStart w:id="107" w:name="_Toc5877568"/>
      <w:bookmarkStart w:id="108" w:name="_Toc5879219"/>
      <w:bookmarkStart w:id="109" w:name="_Toc5879432"/>
      <w:bookmarkStart w:id="110" w:name="_Toc5886743"/>
      <w:bookmarkStart w:id="111" w:name="_Toc56076471"/>
      <w:r w:rsidRPr="00E8533C">
        <w:rPr>
          <w:rFonts w:ascii="Arial" w:hAnsi="Arial" w:cs="Arial"/>
          <w:b/>
          <w:bCs/>
        </w:rPr>
        <w:t>Stay of Execution.</w:t>
      </w:r>
      <w:bookmarkEnd w:id="107"/>
      <w:bookmarkEnd w:id="108"/>
      <w:bookmarkEnd w:id="109"/>
      <w:bookmarkEnd w:id="110"/>
      <w:bookmarkEnd w:id="111"/>
    </w:p>
    <w:p w14:paraId="16F3E0B6" w14:textId="77777777" w:rsidR="0080690F" w:rsidRDefault="0080690F" w:rsidP="0080690F">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p>
    <w:p w14:paraId="25006A61" w14:textId="77777777" w:rsidR="0080690F" w:rsidRPr="00E8533C" w:rsidRDefault="0080690F" w:rsidP="0080690F">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r w:rsidRPr="00E8533C">
        <w:rPr>
          <w:rFonts w:ascii="Arial" w:hAnsi="Arial" w:cs="Arial"/>
        </w:rPr>
        <w:t>If the assigned district judge is absent or unavailable to consider a motion for a stay of execution, any district judge may rule on the motion.</w:t>
      </w:r>
    </w:p>
    <w:p w14:paraId="1BFDD0ED" w14:textId="77777777" w:rsidR="0080690F" w:rsidRPr="00E8533C" w:rsidRDefault="0080690F" w:rsidP="0080690F">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p>
    <w:p w14:paraId="7344C4B9" w14:textId="77777777" w:rsidR="0080690F" w:rsidRPr="00C14431" w:rsidRDefault="0080690F" w:rsidP="0080690F">
      <w:pPr>
        <w:pStyle w:val="ListParagraph"/>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s>
        <w:jc w:val="both"/>
        <w:outlineLvl w:val="3"/>
        <w:rPr>
          <w:rFonts w:ascii="Arial" w:hAnsi="Arial" w:cs="Arial"/>
        </w:rPr>
      </w:pPr>
      <w:bookmarkStart w:id="112" w:name="_Toc5877569"/>
      <w:bookmarkStart w:id="113" w:name="_Toc5879220"/>
      <w:bookmarkStart w:id="114" w:name="_Toc5879433"/>
      <w:bookmarkStart w:id="115" w:name="_Toc5886744"/>
      <w:bookmarkStart w:id="116" w:name="_Toc56076472"/>
      <w:r w:rsidRPr="007B5B66">
        <w:rPr>
          <w:rFonts w:ascii="Arial" w:hAnsi="Arial" w:cs="Arial"/>
          <w:b/>
          <w:bCs/>
        </w:rPr>
        <w:t>Judge Assignment.</w:t>
      </w:r>
      <w:bookmarkEnd w:id="112"/>
      <w:bookmarkEnd w:id="113"/>
      <w:bookmarkEnd w:id="114"/>
      <w:bookmarkEnd w:id="115"/>
      <w:bookmarkEnd w:id="116"/>
      <w:r>
        <w:rPr>
          <w:rFonts w:ascii="Arial" w:hAnsi="Arial" w:cs="Arial"/>
          <w:b/>
          <w:bCs/>
        </w:rPr>
        <w:br/>
      </w:r>
    </w:p>
    <w:p w14:paraId="303BE8FD" w14:textId="77777777" w:rsidR="0080690F" w:rsidRPr="007B5B66" w:rsidRDefault="0080690F" w:rsidP="0080690F">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r w:rsidRPr="007B5B66">
        <w:rPr>
          <w:rFonts w:ascii="Arial" w:hAnsi="Arial" w:cs="Arial"/>
        </w:rPr>
        <w:t>When assigning a death penalty habeas corpus case, the clerk will exclude from random assignment any judge who has two or more pending death penalty habeas corpus cases. This rule has been adopted to conform to the policy of the Eighth Circuit Judicial Council's Death Penalty Committee, which provides that "no district judge should be charged with the disposition of more than two death penalty habeas cases at any one time."</w:t>
      </w:r>
      <w:r w:rsidRPr="00671E64">
        <w:rPr>
          <w:rStyle w:val="FootnoteReference"/>
          <w:rFonts w:ascii="Arial" w:hAnsi="Arial" w:cs="Arial"/>
          <w:vertAlign w:val="superscript"/>
        </w:rPr>
        <w:footnoteReference w:id="1"/>
      </w:r>
      <w:r>
        <w:rPr>
          <w:rFonts w:ascii="Arial" w:hAnsi="Arial" w:cs="Arial"/>
        </w:rPr>
        <w:br/>
      </w:r>
    </w:p>
    <w:p w14:paraId="05660E73" w14:textId="77777777" w:rsidR="0080690F" w:rsidRPr="0090093E" w:rsidRDefault="0080690F" w:rsidP="00E12504">
      <w:pPr>
        <w:pStyle w:val="ListParagraph"/>
        <w:numPr>
          <w:ilvl w:val="0"/>
          <w:numId w:val="40"/>
        </w:numPr>
        <w:tabs>
          <w:tab w:val="left" w:pos="0"/>
          <w:tab w:val="left" w:pos="720"/>
          <w:tab w:val="left" w:pos="1440"/>
          <w:tab w:val="left" w:pos="2160"/>
          <w:tab w:val="left" w:pos="2880"/>
          <w:tab w:val="left" w:pos="3600"/>
          <w:tab w:val="left" w:pos="4320"/>
          <w:tab w:val="left" w:pos="5040"/>
          <w:tab w:val="left" w:pos="5760"/>
          <w:tab w:val="left" w:pos="6480"/>
          <w:tab w:val="left" w:pos="7200"/>
        </w:tabs>
        <w:ind w:left="2160"/>
        <w:jc w:val="both"/>
        <w:outlineLvl w:val="2"/>
        <w:rPr>
          <w:rFonts w:ascii="Arial" w:hAnsi="Arial" w:cs="Arial"/>
        </w:rPr>
      </w:pPr>
      <w:bookmarkStart w:id="117" w:name="_Toc5877570"/>
      <w:bookmarkStart w:id="118" w:name="_Toc5879221"/>
      <w:bookmarkStart w:id="119" w:name="_Toc5879434"/>
      <w:bookmarkStart w:id="120" w:name="_Toc5886745"/>
      <w:bookmarkStart w:id="121" w:name="_Toc56076473"/>
      <w:r w:rsidRPr="0090093E">
        <w:rPr>
          <w:rFonts w:ascii="Arial" w:hAnsi="Arial" w:cs="Arial"/>
          <w:b/>
          <w:bCs/>
        </w:rPr>
        <w:t>Challenges.</w:t>
      </w:r>
      <w:bookmarkEnd w:id="117"/>
      <w:bookmarkEnd w:id="118"/>
      <w:bookmarkEnd w:id="119"/>
      <w:bookmarkEnd w:id="120"/>
      <w:bookmarkEnd w:id="121"/>
      <w:r w:rsidRPr="0090093E">
        <w:rPr>
          <w:rFonts w:ascii="Arial" w:hAnsi="Arial" w:cs="Arial"/>
          <w:b/>
          <w:bCs/>
        </w:rPr>
        <w:br/>
      </w:r>
    </w:p>
    <w:p w14:paraId="374511C4" w14:textId="77777777" w:rsidR="0080690F" w:rsidRDefault="0080690F" w:rsidP="0080690F">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160"/>
        <w:jc w:val="both"/>
        <w:rPr>
          <w:rFonts w:ascii="Arial" w:hAnsi="Arial" w:cs="Arial"/>
        </w:rPr>
      </w:pPr>
      <w:r w:rsidRPr="0090093E">
        <w:rPr>
          <w:rFonts w:ascii="Arial" w:hAnsi="Arial" w:cs="Arial"/>
        </w:rPr>
        <w:t xml:space="preserve">All motions challenging the operation or seeking avoidance or </w:t>
      </w:r>
      <w:bookmarkStart w:id="122" w:name="_GoBack"/>
      <w:bookmarkEnd w:id="122"/>
      <w:r w:rsidRPr="0090093E">
        <w:rPr>
          <w:rFonts w:ascii="Arial" w:hAnsi="Arial" w:cs="Arial"/>
        </w:rPr>
        <w:t>restraint of this rule must be made to the chief judge or, if the chief judge is disqualified or disabled, to the district judge then available and next senior in service.</w:t>
      </w:r>
    </w:p>
    <w:p w14:paraId="6FC76AAF" w14:textId="77777777" w:rsidR="0080690F" w:rsidRPr="0090093E" w:rsidRDefault="0080690F" w:rsidP="0080690F">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160"/>
        <w:jc w:val="both"/>
        <w:rPr>
          <w:rFonts w:ascii="Arial" w:hAnsi="Arial" w:cs="Arial"/>
        </w:rPr>
      </w:pPr>
    </w:p>
    <w:p w14:paraId="5054BDA6" w14:textId="77777777" w:rsidR="0080690F" w:rsidRPr="0090093E" w:rsidRDefault="0080690F" w:rsidP="00E12504">
      <w:pPr>
        <w:pStyle w:val="ListParagraph"/>
        <w:numPr>
          <w:ilvl w:val="0"/>
          <w:numId w:val="40"/>
        </w:numPr>
        <w:ind w:left="2160"/>
        <w:jc w:val="both"/>
        <w:outlineLvl w:val="2"/>
        <w:rPr>
          <w:rFonts w:ascii="Arial" w:hAnsi="Arial" w:cs="Arial"/>
          <w:b/>
          <w:bCs/>
        </w:rPr>
      </w:pPr>
      <w:bookmarkStart w:id="123" w:name="_Toc5877571"/>
      <w:bookmarkStart w:id="124" w:name="_Toc5879222"/>
      <w:bookmarkStart w:id="125" w:name="_Toc5879435"/>
      <w:bookmarkStart w:id="126" w:name="_Toc5886746"/>
      <w:bookmarkStart w:id="127" w:name="_Toc56076474"/>
      <w:r w:rsidRPr="0090093E">
        <w:rPr>
          <w:rFonts w:ascii="Arial" w:hAnsi="Arial" w:cs="Arial"/>
          <w:b/>
          <w:bCs/>
        </w:rPr>
        <w:t>Sanctions.</w:t>
      </w:r>
      <w:bookmarkEnd w:id="123"/>
      <w:bookmarkEnd w:id="124"/>
      <w:bookmarkEnd w:id="125"/>
      <w:bookmarkEnd w:id="126"/>
      <w:bookmarkEnd w:id="127"/>
      <w:r w:rsidRPr="0090093E">
        <w:rPr>
          <w:rFonts w:ascii="Arial" w:hAnsi="Arial" w:cs="Arial"/>
          <w:b/>
          <w:bCs/>
        </w:rPr>
        <w:br/>
      </w:r>
    </w:p>
    <w:p w14:paraId="5DFC6FBB" w14:textId="77777777" w:rsidR="0080690F" w:rsidRDefault="0080690F" w:rsidP="0080690F">
      <w:pPr>
        <w:pStyle w:val="ListParagraph"/>
        <w:ind w:left="2160"/>
        <w:jc w:val="both"/>
        <w:rPr>
          <w:rFonts w:ascii="Arial" w:hAnsi="Arial" w:cs="Arial"/>
        </w:rPr>
      </w:pPr>
      <w:r w:rsidRPr="0090093E">
        <w:rPr>
          <w:rFonts w:ascii="Arial" w:hAnsi="Arial" w:cs="Arial"/>
        </w:rPr>
        <w:t xml:space="preserve">No person may (a) reveal the sequence of district or magistrate judges' names within a docket or any rotation randomly determined; (b) assign any case other than as stated in this rule or ordered by the court; or (c) directly or indirectly cause, or attempt to cause, any </w:t>
      </w:r>
      <w:r w:rsidRPr="0090093E">
        <w:rPr>
          <w:rFonts w:ascii="Arial" w:hAnsi="Arial" w:cs="Arial"/>
        </w:rPr>
        <w:lastRenderedPageBreak/>
        <w:t>person to (i) reveal the sequence of district or magistrate judges' names within a docket or rotation randomly determined, or (ii) assign any cases other than as stated in this rule or ordered by the court. The court will sanction any person violating this provision with criminal contempt.</w:t>
      </w:r>
      <w:r>
        <w:rPr>
          <w:rFonts w:ascii="Arial" w:hAnsi="Arial" w:cs="Arial"/>
        </w:rPr>
        <w:br/>
      </w:r>
    </w:p>
    <w:p w14:paraId="38573E63" w14:textId="77777777" w:rsidR="0080690F" w:rsidRDefault="0080690F" w:rsidP="0080690F">
      <w:pPr>
        <w:ind w:left="1440" w:hanging="720"/>
        <w:jc w:val="both"/>
        <w:outlineLvl w:val="1"/>
        <w:rPr>
          <w:rFonts w:ascii="Arial" w:hAnsi="Arial" w:cs="Arial"/>
          <w:b/>
          <w:bCs/>
        </w:rPr>
      </w:pPr>
      <w:bookmarkStart w:id="128" w:name="_Toc5877572"/>
      <w:bookmarkStart w:id="129" w:name="_Toc5879223"/>
      <w:bookmarkStart w:id="130" w:name="_Toc5879436"/>
      <w:bookmarkStart w:id="131" w:name="_Toc5886747"/>
      <w:bookmarkStart w:id="132" w:name="_Toc56076475"/>
      <w:r w:rsidRPr="00671E64">
        <w:rPr>
          <w:rFonts w:ascii="Arial" w:hAnsi="Arial" w:cs="Arial"/>
          <w:b/>
          <w:bCs/>
        </w:rPr>
        <w:t>(b)</w:t>
      </w:r>
      <w:r w:rsidRPr="00671E64">
        <w:rPr>
          <w:rFonts w:ascii="Arial" w:hAnsi="Arial" w:cs="Arial"/>
          <w:b/>
          <w:bCs/>
        </w:rPr>
        <w:tab/>
        <w:t>Bankruptcy Court.</w:t>
      </w:r>
      <w:bookmarkEnd w:id="128"/>
      <w:bookmarkEnd w:id="129"/>
      <w:bookmarkEnd w:id="130"/>
      <w:bookmarkEnd w:id="131"/>
      <w:bookmarkEnd w:id="132"/>
      <w:r>
        <w:rPr>
          <w:rFonts w:ascii="Arial" w:hAnsi="Arial" w:cs="Arial"/>
          <w:b/>
          <w:bCs/>
        </w:rPr>
        <w:br/>
      </w:r>
    </w:p>
    <w:p w14:paraId="0601338F" w14:textId="77777777" w:rsidR="0080690F" w:rsidRDefault="0080690F" w:rsidP="0080690F">
      <w:pPr>
        <w:ind w:left="2160" w:hanging="720"/>
        <w:jc w:val="both"/>
        <w:outlineLvl w:val="2"/>
        <w:rPr>
          <w:rFonts w:ascii="Arial" w:hAnsi="Arial" w:cs="Arial"/>
        </w:rPr>
      </w:pPr>
      <w:bookmarkStart w:id="133" w:name="_Toc5877573"/>
      <w:bookmarkStart w:id="134" w:name="_Toc5879224"/>
      <w:bookmarkStart w:id="135" w:name="_Toc5879437"/>
      <w:bookmarkStart w:id="136" w:name="_Toc5886748"/>
      <w:bookmarkStart w:id="137" w:name="_Toc56076476"/>
      <w:r w:rsidRPr="00671E64">
        <w:rPr>
          <w:rFonts w:ascii="Arial" w:hAnsi="Arial" w:cs="Arial"/>
          <w:b/>
          <w:bCs/>
        </w:rPr>
        <w:t>(1)</w:t>
      </w:r>
      <w:r w:rsidRPr="00671E64">
        <w:rPr>
          <w:rFonts w:ascii="Arial" w:hAnsi="Arial" w:cs="Arial"/>
          <w:b/>
          <w:bCs/>
        </w:rPr>
        <w:tab/>
        <w:t>Assignment Method.</w:t>
      </w:r>
      <w:bookmarkEnd w:id="133"/>
      <w:bookmarkEnd w:id="134"/>
      <w:bookmarkEnd w:id="135"/>
      <w:bookmarkEnd w:id="136"/>
      <w:bookmarkEnd w:id="137"/>
      <w:r>
        <w:rPr>
          <w:rFonts w:ascii="Arial" w:hAnsi="Arial" w:cs="Arial"/>
          <w:b/>
          <w:bCs/>
        </w:rPr>
        <w:br/>
      </w:r>
    </w:p>
    <w:p w14:paraId="7723B562" w14:textId="77777777" w:rsidR="0080690F" w:rsidRPr="00671E64" w:rsidRDefault="0080690F" w:rsidP="0080690F">
      <w:pPr>
        <w:ind w:left="2160"/>
        <w:jc w:val="both"/>
        <w:rPr>
          <w:rFonts w:ascii="Arial" w:hAnsi="Arial" w:cs="Arial"/>
        </w:rPr>
      </w:pPr>
      <w:r w:rsidRPr="00671E64">
        <w:rPr>
          <w:rFonts w:ascii="Arial" w:hAnsi="Arial" w:cs="Arial"/>
        </w:rPr>
        <w:t>From time to time, the bankruptcy judges adopt a general policy concerning case assignment for implementation by the clerk. The general policy varies on a case-by-case basis at the judges' discretion based on a number of factors including the judges</w:t>
      </w:r>
      <w:r w:rsidRPr="00671E64">
        <w:rPr>
          <w:rFonts w:ascii="Arial" w:hAnsi="Arial" w:cs="Arial"/>
        </w:rPr>
        <w:sym w:font="WP TypographicSymbols" w:char="003D"/>
      </w:r>
      <w:r w:rsidRPr="00671E64">
        <w:rPr>
          <w:rFonts w:ascii="Arial" w:hAnsi="Arial" w:cs="Arial"/>
        </w:rPr>
        <w:t xml:space="preserve"> relative workload, conflicts of interest, and recusals. When a petition is filed, the bankruptcy court clerk assigns the case to a judge.</w:t>
      </w:r>
      <w:r>
        <w:rPr>
          <w:rFonts w:ascii="Arial" w:hAnsi="Arial" w:cs="Arial"/>
        </w:rPr>
        <w:br/>
      </w:r>
    </w:p>
    <w:p w14:paraId="2FF278E6" w14:textId="77777777" w:rsidR="0080690F" w:rsidRPr="00C14431" w:rsidRDefault="0080690F" w:rsidP="0080690F">
      <w:pPr>
        <w:ind w:left="2160" w:hanging="720"/>
        <w:jc w:val="both"/>
        <w:outlineLvl w:val="2"/>
        <w:rPr>
          <w:rFonts w:ascii="Arial" w:hAnsi="Arial" w:cs="Arial"/>
        </w:rPr>
      </w:pPr>
      <w:bookmarkStart w:id="138" w:name="_Toc5877574"/>
      <w:bookmarkStart w:id="139" w:name="_Toc5879225"/>
      <w:bookmarkStart w:id="140" w:name="_Toc5879438"/>
      <w:bookmarkStart w:id="141" w:name="_Toc5886749"/>
      <w:bookmarkStart w:id="142" w:name="_Toc56076477"/>
      <w:r w:rsidRPr="00C14431">
        <w:rPr>
          <w:rFonts w:ascii="Arial" w:hAnsi="Arial" w:cs="Arial"/>
          <w:b/>
          <w:bCs/>
        </w:rPr>
        <w:t>(2</w:t>
      </w:r>
      <w:r>
        <w:rPr>
          <w:rFonts w:ascii="Arial" w:hAnsi="Arial" w:cs="Arial"/>
          <w:b/>
          <w:bCs/>
        </w:rPr>
        <w:t>)</w:t>
      </w:r>
      <w:r>
        <w:rPr>
          <w:rFonts w:ascii="Arial" w:hAnsi="Arial" w:cs="Arial"/>
          <w:b/>
          <w:bCs/>
        </w:rPr>
        <w:tab/>
      </w:r>
      <w:r w:rsidRPr="00C14431">
        <w:rPr>
          <w:rFonts w:ascii="Arial" w:hAnsi="Arial" w:cs="Arial"/>
          <w:b/>
          <w:bCs/>
        </w:rPr>
        <w:t>Subsequent Filings.</w:t>
      </w:r>
      <w:bookmarkEnd w:id="138"/>
      <w:bookmarkEnd w:id="139"/>
      <w:bookmarkEnd w:id="140"/>
      <w:bookmarkEnd w:id="141"/>
      <w:bookmarkEnd w:id="142"/>
      <w:r w:rsidRPr="00C14431">
        <w:rPr>
          <w:rFonts w:ascii="Arial" w:hAnsi="Arial" w:cs="Arial"/>
          <w:b/>
          <w:bCs/>
        </w:rPr>
        <w:br/>
      </w:r>
    </w:p>
    <w:p w14:paraId="0414D29F" w14:textId="77777777" w:rsidR="0080690F" w:rsidRPr="00C14431" w:rsidRDefault="0080690F" w:rsidP="0080690F">
      <w:pPr>
        <w:pStyle w:val="ListParagraph"/>
        <w:ind w:left="2160"/>
        <w:jc w:val="both"/>
        <w:rPr>
          <w:rFonts w:ascii="Arial" w:hAnsi="Arial" w:cs="Arial"/>
        </w:rPr>
      </w:pPr>
      <w:r w:rsidRPr="00C14431">
        <w:rPr>
          <w:rFonts w:ascii="Arial" w:hAnsi="Arial" w:cs="Arial"/>
        </w:rPr>
        <w:t>After the bankruptcy court assigns a case, subsequent documents must be filed in the bankruptcy court clerk</w:t>
      </w:r>
      <w:r w:rsidRPr="00671E64">
        <w:sym w:font="WP TypographicSymbols" w:char="003D"/>
      </w:r>
      <w:r w:rsidRPr="00C14431">
        <w:rPr>
          <w:rFonts w:ascii="Arial" w:hAnsi="Arial" w:cs="Arial"/>
        </w:rPr>
        <w:t>s office in the assigned judge</w:t>
      </w:r>
      <w:r w:rsidRPr="00671E64">
        <w:sym w:font="WP TypographicSymbols" w:char="003D"/>
      </w:r>
      <w:r w:rsidRPr="00C14431">
        <w:rPr>
          <w:rFonts w:ascii="Arial" w:hAnsi="Arial" w:cs="Arial"/>
        </w:rPr>
        <w:t>s location.</w:t>
      </w:r>
      <w:r w:rsidRPr="00C14431">
        <w:rPr>
          <w:rFonts w:ascii="Arial" w:hAnsi="Arial" w:cs="Arial"/>
        </w:rPr>
        <w:br/>
      </w:r>
    </w:p>
    <w:p w14:paraId="2DE0C0AE" w14:textId="77777777" w:rsidR="0080690F" w:rsidRDefault="0080690F" w:rsidP="0080690F">
      <w:pPr>
        <w:ind w:left="2160" w:hanging="720"/>
        <w:jc w:val="both"/>
        <w:outlineLvl w:val="2"/>
        <w:rPr>
          <w:rFonts w:ascii="Arial" w:hAnsi="Arial" w:cs="Arial"/>
        </w:rPr>
      </w:pPr>
      <w:bookmarkStart w:id="143" w:name="_Toc5877575"/>
      <w:bookmarkStart w:id="144" w:name="_Toc5879226"/>
      <w:bookmarkStart w:id="145" w:name="_Toc5879439"/>
      <w:bookmarkStart w:id="146" w:name="_Toc5886750"/>
      <w:bookmarkStart w:id="147" w:name="_Toc56076478"/>
      <w:r w:rsidRPr="00671E64">
        <w:rPr>
          <w:rFonts w:ascii="Arial" w:hAnsi="Arial" w:cs="Arial"/>
          <w:b/>
          <w:bCs/>
        </w:rPr>
        <w:t>(3)</w:t>
      </w:r>
      <w:r w:rsidRPr="00671E64">
        <w:rPr>
          <w:rFonts w:ascii="Arial" w:hAnsi="Arial" w:cs="Arial"/>
          <w:b/>
          <w:bCs/>
        </w:rPr>
        <w:tab/>
        <w:t>Place of Hearings.</w:t>
      </w:r>
      <w:bookmarkEnd w:id="143"/>
      <w:bookmarkEnd w:id="144"/>
      <w:bookmarkEnd w:id="145"/>
      <w:bookmarkEnd w:id="146"/>
      <w:bookmarkEnd w:id="147"/>
      <w:r>
        <w:rPr>
          <w:rFonts w:ascii="Arial" w:hAnsi="Arial" w:cs="Arial"/>
          <w:b/>
          <w:bCs/>
        </w:rPr>
        <w:br/>
      </w:r>
    </w:p>
    <w:p w14:paraId="224C9F6A" w14:textId="77777777" w:rsidR="0080690F" w:rsidRPr="00671E64" w:rsidRDefault="0080690F" w:rsidP="0080690F">
      <w:pPr>
        <w:ind w:left="2160"/>
        <w:jc w:val="both"/>
        <w:rPr>
          <w:rFonts w:ascii="Arial" w:hAnsi="Arial" w:cs="Arial"/>
        </w:rPr>
      </w:pPr>
      <w:r w:rsidRPr="00671E64">
        <w:rPr>
          <w:rFonts w:ascii="Arial" w:hAnsi="Arial" w:cs="Arial"/>
        </w:rPr>
        <w:t>The clerk and the assigned judge determine the location of hearings in a bankruptcy case.</w:t>
      </w:r>
      <w:r>
        <w:rPr>
          <w:rFonts w:ascii="Arial" w:hAnsi="Arial" w:cs="Arial"/>
        </w:rPr>
        <w:br/>
      </w:r>
    </w:p>
    <w:p w14:paraId="708C74EE" w14:textId="77777777" w:rsidR="0080690F" w:rsidRDefault="0080690F" w:rsidP="0080690F">
      <w:pPr>
        <w:ind w:left="2160" w:hanging="720"/>
        <w:jc w:val="both"/>
        <w:outlineLvl w:val="2"/>
        <w:rPr>
          <w:rFonts w:ascii="Arial" w:hAnsi="Arial" w:cs="Arial"/>
        </w:rPr>
      </w:pPr>
      <w:bookmarkStart w:id="148" w:name="_Toc5877576"/>
      <w:bookmarkStart w:id="149" w:name="_Toc5879227"/>
      <w:bookmarkStart w:id="150" w:name="_Toc5879440"/>
      <w:bookmarkStart w:id="151" w:name="_Toc5886751"/>
      <w:bookmarkStart w:id="152" w:name="_Toc56076479"/>
      <w:r w:rsidRPr="00671E64">
        <w:rPr>
          <w:rFonts w:ascii="Arial" w:hAnsi="Arial" w:cs="Arial"/>
          <w:b/>
          <w:bCs/>
        </w:rPr>
        <w:t>(4)</w:t>
      </w:r>
      <w:r w:rsidRPr="00671E64">
        <w:rPr>
          <w:rFonts w:ascii="Arial" w:hAnsi="Arial" w:cs="Arial"/>
          <w:b/>
          <w:bCs/>
        </w:rPr>
        <w:tab/>
        <w:t>Reassignments.</w:t>
      </w:r>
      <w:bookmarkEnd w:id="148"/>
      <w:bookmarkEnd w:id="149"/>
      <w:bookmarkEnd w:id="150"/>
      <w:bookmarkEnd w:id="151"/>
      <w:bookmarkEnd w:id="152"/>
      <w:r>
        <w:rPr>
          <w:rFonts w:ascii="Arial" w:hAnsi="Arial" w:cs="Arial"/>
          <w:b/>
          <w:bCs/>
        </w:rPr>
        <w:br/>
      </w:r>
    </w:p>
    <w:p w14:paraId="46AA3D6F" w14:textId="576EBCFB" w:rsidR="002964AB" w:rsidRPr="0080690F" w:rsidRDefault="0080690F" w:rsidP="0080690F">
      <w:pPr>
        <w:ind w:left="2160"/>
        <w:jc w:val="both"/>
      </w:pPr>
      <w:r w:rsidRPr="00671E64">
        <w:rPr>
          <w:rFonts w:ascii="Arial" w:hAnsi="Arial" w:cs="Arial"/>
        </w:rPr>
        <w:t>If the assigned bankruptcy judge is disabled and unable to consent to the reassignment of a case, the chief bankruptcy judge may reassign the case without consent. If the chief bankruptcy judge is disqualified or disabled, the reassignment authority passes to the next senior bankruptcy judge. If all bankruptcy judges are disqualified or disabled, the reassignment authority passes to the chief district judge.</w:t>
      </w:r>
    </w:p>
    <w:sectPr w:rsidR="002964AB" w:rsidRPr="0080690F" w:rsidSect="002964AB">
      <w:headerReference w:type="default" r:id="rId8"/>
      <w:type w:val="continuous"/>
      <w:pgSz w:w="12240" w:h="15840"/>
      <w:pgMar w:top="1080" w:right="1440" w:bottom="1440" w:left="1440" w:header="108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5803CB" w14:textId="77777777" w:rsidR="005C6D1B" w:rsidRDefault="005C6D1B" w:rsidP="002964AB">
      <w:r>
        <w:separator/>
      </w:r>
    </w:p>
  </w:endnote>
  <w:endnote w:type="continuationSeparator" w:id="0">
    <w:p w14:paraId="7C7F2E46" w14:textId="77777777" w:rsidR="005C6D1B" w:rsidRDefault="005C6D1B" w:rsidP="00296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5158D0" w14:textId="77777777" w:rsidR="005C6D1B" w:rsidRDefault="005C6D1B" w:rsidP="002964AB">
      <w:r>
        <w:separator/>
      </w:r>
    </w:p>
  </w:footnote>
  <w:footnote w:type="continuationSeparator" w:id="0">
    <w:p w14:paraId="606901AF" w14:textId="77777777" w:rsidR="005C6D1B" w:rsidRDefault="005C6D1B" w:rsidP="002964AB">
      <w:r>
        <w:continuationSeparator/>
      </w:r>
    </w:p>
  </w:footnote>
  <w:footnote w:id="1">
    <w:p w14:paraId="4E54C006" w14:textId="77777777" w:rsidR="0080690F" w:rsidRPr="000600CC" w:rsidRDefault="0080690F" w:rsidP="0080690F">
      <w:pPr>
        <w:spacing w:after="240"/>
        <w:ind w:firstLine="720"/>
        <w:jc w:val="both"/>
        <w:rPr>
          <w:rFonts w:ascii="Arial" w:hAnsi="Arial" w:cs="Arial"/>
          <w:sz w:val="18"/>
          <w:szCs w:val="18"/>
        </w:rPr>
      </w:pPr>
      <w:r w:rsidRPr="000600CC">
        <w:rPr>
          <w:rStyle w:val="FootnoteReference"/>
          <w:rFonts w:ascii="Arial" w:hAnsi="Arial" w:cs="Arial"/>
          <w:sz w:val="18"/>
          <w:szCs w:val="18"/>
          <w:vertAlign w:val="superscript"/>
        </w:rPr>
        <w:footnoteRef/>
      </w:r>
      <w:r w:rsidRPr="000600CC">
        <w:rPr>
          <w:rFonts w:ascii="Arial" w:hAnsi="Arial" w:cs="Arial"/>
          <w:sz w:val="18"/>
          <w:szCs w:val="18"/>
        </w:rPr>
        <w:t xml:space="preserve"> In a Memorandum dated May 19, 2017, Eighth Circuit Judge Bobby Shepherd, in consultation with the Ad Hoc Committee on Death Penalty Cases, explained that a death penalty habeas case on appeal does not count toward a judge's two cases. In addition, the policy does not apply to non</w:t>
      </w:r>
      <w:r w:rsidRPr="000600CC">
        <w:rPr>
          <w:rFonts w:ascii="Arial" w:hAnsi="Arial" w:cs="Arial"/>
          <w:sz w:val="18"/>
          <w:szCs w:val="18"/>
        </w:rPr>
        <w:noBreakHyphen/>
        <w:t>habeas cases such as ancillary proceedings or other civil cases challenging the method of execution.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65CFCC" w14:textId="1B5E691E" w:rsidR="00DA2A57" w:rsidRPr="00393BC1" w:rsidRDefault="00DA2A57" w:rsidP="00DA2A57">
    <w:pPr>
      <w:tabs>
        <w:tab w:val="center" w:pos="4680"/>
        <w:tab w:val="right" w:pos="9360"/>
      </w:tabs>
      <w:jc w:val="right"/>
      <w:rPr>
        <w:rFonts w:ascii="Arial" w:eastAsia="Calibri" w:hAnsi="Arial"/>
        <w:sz w:val="20"/>
        <w:szCs w:val="20"/>
      </w:rPr>
    </w:pPr>
    <w:r w:rsidRPr="00393BC1">
      <w:rPr>
        <w:rFonts w:ascii="Arial" w:eastAsia="Calibri" w:hAnsi="Arial"/>
        <w:sz w:val="20"/>
        <w:szCs w:val="20"/>
      </w:rPr>
      <w:t>General Rules of the United States District Court for the District of Nebraska (“</w:t>
    </w:r>
    <w:hyperlink r:id="rId1" w:history="1">
      <w:r w:rsidRPr="00393BC1">
        <w:rPr>
          <w:rFonts w:ascii="Arial" w:eastAsia="Calibri" w:hAnsi="Arial"/>
          <w:color w:val="0000FF"/>
          <w:sz w:val="20"/>
          <w:szCs w:val="20"/>
          <w:u w:val="single"/>
        </w:rPr>
        <w:t>Nebraska General Rules</w:t>
      </w:r>
    </w:hyperlink>
    <w:r w:rsidRPr="00393BC1">
      <w:rPr>
        <w:rFonts w:ascii="Arial" w:eastAsia="Calibri" w:hAnsi="Arial"/>
        <w:sz w:val="20"/>
        <w:szCs w:val="20"/>
      </w:rPr>
      <w:t>”)</w:t>
    </w:r>
  </w:p>
  <w:p w14:paraId="50E169F9" w14:textId="2D03A602" w:rsidR="00DA2A57" w:rsidRPr="00393BC1" w:rsidRDefault="00DA2A57" w:rsidP="00DA2A57">
    <w:pPr>
      <w:tabs>
        <w:tab w:val="center" w:pos="4680"/>
        <w:tab w:val="right" w:pos="9360"/>
      </w:tabs>
      <w:jc w:val="right"/>
      <w:rPr>
        <w:rFonts w:ascii="Arial" w:eastAsia="Calibri" w:hAnsi="Arial"/>
        <w:sz w:val="20"/>
        <w:szCs w:val="20"/>
      </w:rPr>
    </w:pPr>
    <w:r w:rsidRPr="00393BC1">
      <w:rPr>
        <w:rFonts w:ascii="Arial" w:eastAsia="Calibri" w:hAnsi="Arial"/>
        <w:sz w:val="20"/>
        <w:szCs w:val="20"/>
      </w:rPr>
      <w:t>Effective December 1, 20</w:t>
    </w:r>
    <w:r w:rsidR="0070792E">
      <w:rPr>
        <w:rFonts w:ascii="Arial" w:eastAsia="Calibri" w:hAnsi="Arial"/>
        <w:sz w:val="20"/>
        <w:szCs w:val="20"/>
      </w:rPr>
      <w:t>20</w:t>
    </w:r>
  </w:p>
  <w:p w14:paraId="5D148C28" w14:textId="77777777" w:rsidR="005C6D1B" w:rsidRDefault="005C6D1B">
    <w:pPr>
      <w:spacing w:line="312" w:lineRule="exact"/>
      <w:rPr>
        <w:rFonts w:ascii="Microsoft Uighur" w:hAnsi="Microsoft Uighur" w:cs="Microsoft Uighu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12D0011A"/>
    <w:lvl w:ilvl="0">
      <w:numFmt w:val="bullet"/>
      <w:lvlText w:val="*"/>
      <w:lvlJc w:val="left"/>
    </w:lvl>
  </w:abstractNum>
  <w:abstractNum w:abstractNumId="1" w15:restartNumberingAfterBreak="0">
    <w:nsid w:val="00000001"/>
    <w:multiLevelType w:val="multilevel"/>
    <w:tmpl w:val="00000000"/>
    <w:name w:val="1"/>
    <w:lvl w:ilvl="0">
      <w:start w:val="1"/>
      <w:numFmt w:val="decimal"/>
      <w:lvlText w:val="%1_"/>
      <w:lvlJc w:val="left"/>
    </w:lvl>
    <w:lvl w:ilvl="1">
      <w:start w:val="1"/>
      <w:numFmt w:val="decimal"/>
      <w:lvlText w:val="%1_%2_"/>
      <w:lvlJc w:val="left"/>
    </w:lvl>
    <w:lvl w:ilvl="2">
      <w:start w:val="1"/>
      <w:numFmt w:val="lowerLetter"/>
      <w:lvlText w:val="(%3)"/>
      <w:lvlJc w:val="left"/>
    </w:lvl>
    <w:lvl w:ilvl="3">
      <w:start w:val="1"/>
      <w:numFmt w:val="decimal"/>
      <w:lvlText w:val="(%4)"/>
      <w:lvlJc w:val="left"/>
    </w:lvl>
    <w:lvl w:ilvl="4">
      <w:start w:val="1"/>
      <w:numFmt w:val="lowerRoman"/>
      <w:lvlText w:val="(%5)"/>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2" w15:restartNumberingAfterBreak="0">
    <w:nsid w:val="00000002"/>
    <w:multiLevelType w:val="multilevel"/>
    <w:tmpl w:val="00000000"/>
    <w:name w:val="â"/>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3" w15:restartNumberingAfterBreak="0">
    <w:nsid w:val="00000003"/>
    <w:multiLevelType w:val="multilevel"/>
    <w:tmpl w:val="00000000"/>
    <w:name w:val="â"/>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4" w15:restartNumberingAfterBreak="0">
    <w:nsid w:val="00000004"/>
    <w:multiLevelType w:val="multilevel"/>
    <w:tmpl w:val="00000000"/>
    <w:name w:val="â"/>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5" w15:restartNumberingAfterBreak="0">
    <w:nsid w:val="06A7556D"/>
    <w:multiLevelType w:val="hybridMultilevel"/>
    <w:tmpl w:val="E8048B9A"/>
    <w:lvl w:ilvl="0" w:tplc="E174997E">
      <w:start w:val="3"/>
      <w:numFmt w:val="lowerLetter"/>
      <w:lvlText w:val="(%1)"/>
      <w:lvlJc w:val="left"/>
      <w:pPr>
        <w:ind w:left="144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522AE6"/>
    <w:multiLevelType w:val="hybridMultilevel"/>
    <w:tmpl w:val="088076E6"/>
    <w:lvl w:ilvl="0" w:tplc="275C6200">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0C0A1905"/>
    <w:multiLevelType w:val="hybridMultilevel"/>
    <w:tmpl w:val="0A861EC2"/>
    <w:lvl w:ilvl="0" w:tplc="20E8D1D2">
      <w:start w:val="4"/>
      <w:numFmt w:val="upperLetter"/>
      <w:lvlText w:val="(%1)"/>
      <w:lvlJc w:val="left"/>
      <w:pPr>
        <w:ind w:left="28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4A4A14"/>
    <w:multiLevelType w:val="hybridMultilevel"/>
    <w:tmpl w:val="AE267E38"/>
    <w:lvl w:ilvl="0" w:tplc="B09A72C4">
      <w:start w:val="3"/>
      <w:numFmt w:val="lowerRoman"/>
      <w:lvlText w:val="(%1)"/>
      <w:lvlJc w:val="left"/>
      <w:pPr>
        <w:ind w:left="360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FC59D7"/>
    <w:multiLevelType w:val="hybridMultilevel"/>
    <w:tmpl w:val="AED0D886"/>
    <w:lvl w:ilvl="0" w:tplc="875671C6">
      <w:start w:val="5"/>
      <w:numFmt w:val="lowerLetter"/>
      <w:lvlText w:val="(%1)"/>
      <w:lvlJc w:val="left"/>
      <w:pPr>
        <w:ind w:left="144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9E2167"/>
    <w:multiLevelType w:val="hybridMultilevel"/>
    <w:tmpl w:val="46521E12"/>
    <w:lvl w:ilvl="0" w:tplc="5F221880">
      <w:start w:val="2"/>
      <w:numFmt w:val="upperLetter"/>
      <w:lvlText w:val="(%1)"/>
      <w:lvlJc w:val="left"/>
      <w:pPr>
        <w:ind w:left="2880" w:hanging="360"/>
      </w:pPr>
      <w:rPr>
        <w:rFonts w:hint="default"/>
        <w:b/>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 w15:restartNumberingAfterBreak="0">
    <w:nsid w:val="191020D8"/>
    <w:multiLevelType w:val="hybridMultilevel"/>
    <w:tmpl w:val="8D98AA1A"/>
    <w:lvl w:ilvl="0" w:tplc="3A9E13B2">
      <w:start w:val="1"/>
      <w:numFmt w:val="decimal"/>
      <w:lvlText w:val="(%1)"/>
      <w:lvlJc w:val="left"/>
      <w:pPr>
        <w:ind w:left="2160" w:hanging="72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1DFC0C42"/>
    <w:multiLevelType w:val="hybridMultilevel"/>
    <w:tmpl w:val="00423EB6"/>
    <w:lvl w:ilvl="0" w:tplc="5F221880">
      <w:start w:val="2"/>
      <w:numFmt w:val="upperLetter"/>
      <w:lvlText w:val="(%1)"/>
      <w:lvlJc w:val="left"/>
      <w:pPr>
        <w:ind w:left="28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B243AD"/>
    <w:multiLevelType w:val="hybridMultilevel"/>
    <w:tmpl w:val="C99E45E0"/>
    <w:lvl w:ilvl="0" w:tplc="4B50A4D4">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24BF7564"/>
    <w:multiLevelType w:val="hybridMultilevel"/>
    <w:tmpl w:val="74FED98E"/>
    <w:lvl w:ilvl="0" w:tplc="5282CA36">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24DA77D2"/>
    <w:multiLevelType w:val="hybridMultilevel"/>
    <w:tmpl w:val="9EC68126"/>
    <w:lvl w:ilvl="0" w:tplc="A9FC9BA0">
      <w:start w:val="1"/>
      <w:numFmt w:val="decimal"/>
      <w:lvlText w:val="(%1)"/>
      <w:lvlJc w:val="left"/>
      <w:pPr>
        <w:ind w:left="2160" w:hanging="720"/>
      </w:pPr>
      <w:rPr>
        <w:rFonts w:ascii="Arial" w:hAnsi="Arial" w:cs="Arial"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6FE1E14"/>
    <w:multiLevelType w:val="hybridMultilevel"/>
    <w:tmpl w:val="AF6EB1BA"/>
    <w:lvl w:ilvl="0" w:tplc="A9FC9BA0">
      <w:start w:val="1"/>
      <w:numFmt w:val="decimal"/>
      <w:lvlText w:val="(%1)"/>
      <w:lvlJc w:val="left"/>
      <w:pPr>
        <w:ind w:left="2160" w:hanging="720"/>
      </w:pPr>
      <w:rPr>
        <w:rFonts w:ascii="Arial" w:hAnsi="Arial" w:cs="Arial"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CC2453C"/>
    <w:multiLevelType w:val="hybridMultilevel"/>
    <w:tmpl w:val="C04CB49C"/>
    <w:lvl w:ilvl="0" w:tplc="275C6200">
      <w:start w:val="1"/>
      <w:numFmt w:val="upperLetter"/>
      <w:lvlText w:val="(%1)"/>
      <w:lvlJc w:val="left"/>
      <w:pPr>
        <w:ind w:left="5040" w:hanging="72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 w15:restartNumberingAfterBreak="0">
    <w:nsid w:val="2D112F17"/>
    <w:multiLevelType w:val="hybridMultilevel"/>
    <w:tmpl w:val="5108FAC8"/>
    <w:lvl w:ilvl="0" w:tplc="563239AE">
      <w:start w:val="1"/>
      <w:numFmt w:val="lowerRoman"/>
      <w:lvlText w:val="(%1)"/>
      <w:lvlJc w:val="left"/>
      <w:pPr>
        <w:ind w:left="3600" w:hanging="720"/>
      </w:pPr>
      <w:rPr>
        <w:rFonts w:hint="default"/>
        <w:b/>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15:restartNumberingAfterBreak="0">
    <w:nsid w:val="2F8A7879"/>
    <w:multiLevelType w:val="hybridMultilevel"/>
    <w:tmpl w:val="C2E0BE06"/>
    <w:lvl w:ilvl="0" w:tplc="CABACF22">
      <w:start w:val="2"/>
      <w:numFmt w:val="upperLetter"/>
      <w:lvlText w:val="(%1)"/>
      <w:lvlJc w:val="left"/>
      <w:pPr>
        <w:ind w:left="2880" w:hanging="360"/>
      </w:pPr>
      <w:rPr>
        <w:rFonts w:hint="default"/>
        <w:b/>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0" w15:restartNumberingAfterBreak="0">
    <w:nsid w:val="358A33C6"/>
    <w:multiLevelType w:val="hybridMultilevel"/>
    <w:tmpl w:val="0EDA3A3C"/>
    <w:lvl w:ilvl="0" w:tplc="67268F46">
      <w:start w:val="4"/>
      <w:numFmt w:val="lowerLetter"/>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1" w15:restartNumberingAfterBreak="0">
    <w:nsid w:val="3B6B2F8B"/>
    <w:multiLevelType w:val="hybridMultilevel"/>
    <w:tmpl w:val="D4AC8384"/>
    <w:lvl w:ilvl="0" w:tplc="F074397E">
      <w:start w:val="1"/>
      <w:numFmt w:val="low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0CA4331"/>
    <w:multiLevelType w:val="hybridMultilevel"/>
    <w:tmpl w:val="3EEEB988"/>
    <w:lvl w:ilvl="0" w:tplc="498ABDFE">
      <w:start w:val="1"/>
      <w:numFmt w:val="lowerRoman"/>
      <w:lvlText w:val="(%1)"/>
      <w:lvlJc w:val="left"/>
      <w:pPr>
        <w:ind w:left="3600" w:hanging="720"/>
      </w:pPr>
      <w:rPr>
        <w:rFonts w:hint="default"/>
        <w:b/>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3" w15:restartNumberingAfterBreak="0">
    <w:nsid w:val="494D5029"/>
    <w:multiLevelType w:val="hybridMultilevel"/>
    <w:tmpl w:val="194005F2"/>
    <w:lvl w:ilvl="0" w:tplc="EA4E765C">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4B50081E"/>
    <w:multiLevelType w:val="hybridMultilevel"/>
    <w:tmpl w:val="ABDCB268"/>
    <w:lvl w:ilvl="0" w:tplc="045EC8DE">
      <w:start w:val="1"/>
      <w:numFmt w:val="upperLetter"/>
      <w:lvlText w:val="(%1)"/>
      <w:lvlJc w:val="left"/>
      <w:pPr>
        <w:ind w:left="2880" w:hanging="720"/>
      </w:pPr>
      <w:rPr>
        <w:rFonts w:hint="default"/>
        <w:b/>
      </w:rPr>
    </w:lvl>
    <w:lvl w:ilvl="1" w:tplc="BBD430F0">
      <w:start w:val="1"/>
      <w:numFmt w:val="decimal"/>
      <w:lvlText w:val="(%2)"/>
      <w:lvlJc w:val="left"/>
      <w:pPr>
        <w:ind w:left="3600" w:hanging="720"/>
      </w:pPr>
      <w:rPr>
        <w:rFonts w:hint="default"/>
        <w:b/>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4C9238E3"/>
    <w:multiLevelType w:val="hybridMultilevel"/>
    <w:tmpl w:val="43B04D10"/>
    <w:lvl w:ilvl="0" w:tplc="14AA15AA">
      <w:start w:val="6"/>
      <w:numFmt w:val="decimal"/>
      <w:lvlText w:val="(%1)"/>
      <w:lvlJc w:val="left"/>
      <w:pPr>
        <w:ind w:left="28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0F022C"/>
    <w:multiLevelType w:val="hybridMultilevel"/>
    <w:tmpl w:val="DB947070"/>
    <w:lvl w:ilvl="0" w:tplc="20024FF4">
      <w:start w:val="2"/>
      <w:numFmt w:val="lowerRoman"/>
      <w:lvlText w:val="(%1)"/>
      <w:lvlJc w:val="left"/>
      <w:pPr>
        <w:ind w:left="324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0E00C5"/>
    <w:multiLevelType w:val="hybridMultilevel"/>
    <w:tmpl w:val="9BF0DB3E"/>
    <w:lvl w:ilvl="0" w:tplc="8B6087BE">
      <w:start w:val="1"/>
      <w:numFmt w:val="lowerLetter"/>
      <w:lvlText w:val="(%1)"/>
      <w:lvlJc w:val="left"/>
      <w:pPr>
        <w:ind w:left="153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1A27210"/>
    <w:multiLevelType w:val="hybridMultilevel"/>
    <w:tmpl w:val="47EA50DE"/>
    <w:lvl w:ilvl="0" w:tplc="34EEF3DE">
      <w:start w:val="1"/>
      <w:numFmt w:val="upperLetter"/>
      <w:lvlText w:val="(%1)"/>
      <w:lvlJc w:val="left"/>
      <w:pPr>
        <w:ind w:left="2880" w:hanging="360"/>
      </w:pPr>
      <w:rPr>
        <w:rFonts w:hint="default"/>
        <w:b/>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9" w15:restartNumberingAfterBreak="0">
    <w:nsid w:val="56181457"/>
    <w:multiLevelType w:val="hybridMultilevel"/>
    <w:tmpl w:val="07161DF2"/>
    <w:lvl w:ilvl="0" w:tplc="AB0A0CEA">
      <w:start w:val="6"/>
      <w:numFmt w:val="decimal"/>
      <w:lvlText w:val="(%1)"/>
      <w:lvlJc w:val="left"/>
      <w:pPr>
        <w:ind w:left="28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F16179"/>
    <w:multiLevelType w:val="hybridMultilevel"/>
    <w:tmpl w:val="BA68A5A8"/>
    <w:lvl w:ilvl="0" w:tplc="AE6ACE88">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4ED3222"/>
    <w:multiLevelType w:val="hybridMultilevel"/>
    <w:tmpl w:val="16946986"/>
    <w:lvl w:ilvl="0" w:tplc="A20051C0">
      <w:start w:val="1"/>
      <w:numFmt w:val="upperLetter"/>
      <w:lvlText w:val="(%1)"/>
      <w:lvlJc w:val="left"/>
      <w:pPr>
        <w:ind w:left="18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1333DB"/>
    <w:multiLevelType w:val="hybridMultilevel"/>
    <w:tmpl w:val="FF48004E"/>
    <w:lvl w:ilvl="0" w:tplc="0E149774">
      <w:start w:val="1"/>
      <w:numFmt w:val="upperLetter"/>
      <w:lvlText w:val="(%1)"/>
      <w:lvlJc w:val="left"/>
      <w:pPr>
        <w:ind w:left="2880" w:hanging="72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15:restartNumberingAfterBreak="0">
    <w:nsid w:val="6CD911C7"/>
    <w:multiLevelType w:val="hybridMultilevel"/>
    <w:tmpl w:val="672C6660"/>
    <w:lvl w:ilvl="0" w:tplc="331E4ED4">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D860329"/>
    <w:multiLevelType w:val="hybridMultilevel"/>
    <w:tmpl w:val="257452A0"/>
    <w:lvl w:ilvl="0" w:tplc="8C201F46">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DDF42FD"/>
    <w:multiLevelType w:val="hybridMultilevel"/>
    <w:tmpl w:val="2376AA6A"/>
    <w:lvl w:ilvl="0" w:tplc="59FEDF06">
      <w:start w:val="4"/>
      <w:numFmt w:val="lowerRoman"/>
      <w:lvlText w:val="(%1)"/>
      <w:lvlJc w:val="left"/>
      <w:pPr>
        <w:ind w:left="360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ED767C"/>
    <w:multiLevelType w:val="hybridMultilevel"/>
    <w:tmpl w:val="3E0A810A"/>
    <w:lvl w:ilvl="0" w:tplc="2062A03E">
      <w:start w:val="1"/>
      <w:numFmt w:val="low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1534CF8"/>
    <w:multiLevelType w:val="hybridMultilevel"/>
    <w:tmpl w:val="8CF4F0AE"/>
    <w:lvl w:ilvl="0" w:tplc="F0C0B67E">
      <w:start w:val="1"/>
      <w:numFmt w:val="upperLetter"/>
      <w:lvlText w:val="(%1)"/>
      <w:lvlJc w:val="left"/>
      <w:pPr>
        <w:ind w:left="2880" w:hanging="360"/>
      </w:pPr>
      <w:rPr>
        <w:rFonts w:hint="default"/>
        <w:b/>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8" w15:restartNumberingAfterBreak="0">
    <w:nsid w:val="72A03AC0"/>
    <w:multiLevelType w:val="hybridMultilevel"/>
    <w:tmpl w:val="CE62280A"/>
    <w:lvl w:ilvl="0" w:tplc="7C8EC8CA">
      <w:start w:val="2"/>
      <w:numFmt w:val="lowerRoman"/>
      <w:lvlText w:val="(%1)"/>
      <w:lvlJc w:val="left"/>
      <w:pPr>
        <w:ind w:left="28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BE6250"/>
    <w:multiLevelType w:val="hybridMultilevel"/>
    <w:tmpl w:val="A77CBC2E"/>
    <w:lvl w:ilvl="0" w:tplc="2062A03E">
      <w:start w:val="1"/>
      <w:numFmt w:val="low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515077D"/>
    <w:multiLevelType w:val="hybridMultilevel"/>
    <w:tmpl w:val="2AF44FE0"/>
    <w:lvl w:ilvl="0" w:tplc="2062A03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6365623"/>
    <w:multiLevelType w:val="hybridMultilevel"/>
    <w:tmpl w:val="663C6AB2"/>
    <w:lvl w:ilvl="0" w:tplc="04C8E77A">
      <w:start w:val="2"/>
      <w:numFmt w:val="decimal"/>
      <w:lvlText w:val="(%1)"/>
      <w:lvlJc w:val="left"/>
      <w:pPr>
        <w:ind w:left="28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8061CC"/>
    <w:multiLevelType w:val="hybridMultilevel"/>
    <w:tmpl w:val="320453CE"/>
    <w:lvl w:ilvl="0" w:tplc="07743994">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3" w15:restartNumberingAfterBreak="0">
    <w:nsid w:val="791F6846"/>
    <w:multiLevelType w:val="hybridMultilevel"/>
    <w:tmpl w:val="10E44EF4"/>
    <w:lvl w:ilvl="0" w:tplc="5282CA36">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0"/>
    <w:lvlOverride w:ilvl="0">
      <w:lvl w:ilvl="0">
        <w:numFmt w:val="bullet"/>
        <w:lvlText w:val="$"/>
        <w:legacy w:legacy="1" w:legacySpace="0" w:legacyIndent="720"/>
        <w:lvlJc w:val="left"/>
        <w:pPr>
          <w:ind w:left="2166" w:hanging="720"/>
        </w:pPr>
        <w:rPr>
          <w:rFonts w:ascii="WP TypographicSymbols" w:hAnsi="WP TypographicSymbols" w:hint="default"/>
        </w:rPr>
      </w:lvl>
    </w:lvlOverride>
  </w:num>
  <w:num w:numId="2">
    <w:abstractNumId w:val="36"/>
  </w:num>
  <w:num w:numId="3">
    <w:abstractNumId w:val="11"/>
  </w:num>
  <w:num w:numId="4">
    <w:abstractNumId w:val="27"/>
  </w:num>
  <w:num w:numId="5">
    <w:abstractNumId w:val="33"/>
  </w:num>
  <w:num w:numId="6">
    <w:abstractNumId w:val="15"/>
  </w:num>
  <w:num w:numId="7">
    <w:abstractNumId w:val="22"/>
  </w:num>
  <w:num w:numId="8">
    <w:abstractNumId w:val="21"/>
  </w:num>
  <w:num w:numId="9">
    <w:abstractNumId w:val="30"/>
  </w:num>
  <w:num w:numId="10">
    <w:abstractNumId w:val="43"/>
  </w:num>
  <w:num w:numId="11">
    <w:abstractNumId w:val="18"/>
  </w:num>
  <w:num w:numId="12">
    <w:abstractNumId w:val="14"/>
  </w:num>
  <w:num w:numId="13">
    <w:abstractNumId w:val="32"/>
  </w:num>
  <w:num w:numId="14">
    <w:abstractNumId w:val="16"/>
  </w:num>
  <w:num w:numId="15">
    <w:abstractNumId w:val="40"/>
  </w:num>
  <w:num w:numId="16">
    <w:abstractNumId w:val="20"/>
  </w:num>
  <w:num w:numId="17">
    <w:abstractNumId w:val="34"/>
  </w:num>
  <w:num w:numId="18">
    <w:abstractNumId w:val="23"/>
  </w:num>
  <w:num w:numId="19">
    <w:abstractNumId w:val="24"/>
  </w:num>
  <w:num w:numId="20">
    <w:abstractNumId w:val="35"/>
  </w:num>
  <w:num w:numId="21">
    <w:abstractNumId w:val="8"/>
  </w:num>
  <w:num w:numId="22">
    <w:abstractNumId w:val="39"/>
  </w:num>
  <w:num w:numId="23">
    <w:abstractNumId w:val="5"/>
  </w:num>
  <w:num w:numId="24">
    <w:abstractNumId w:val="9"/>
  </w:num>
  <w:num w:numId="25">
    <w:abstractNumId w:val="41"/>
  </w:num>
  <w:num w:numId="26">
    <w:abstractNumId w:val="38"/>
  </w:num>
  <w:num w:numId="27">
    <w:abstractNumId w:val="12"/>
  </w:num>
  <w:num w:numId="28">
    <w:abstractNumId w:val="25"/>
  </w:num>
  <w:num w:numId="29">
    <w:abstractNumId w:val="7"/>
  </w:num>
  <w:num w:numId="30">
    <w:abstractNumId w:val="10"/>
  </w:num>
  <w:num w:numId="31">
    <w:abstractNumId w:val="13"/>
  </w:num>
  <w:num w:numId="32">
    <w:abstractNumId w:val="31"/>
  </w:num>
  <w:num w:numId="33">
    <w:abstractNumId w:val="19"/>
  </w:num>
  <w:num w:numId="34">
    <w:abstractNumId w:val="37"/>
  </w:num>
  <w:num w:numId="35">
    <w:abstractNumId w:val="6"/>
  </w:num>
  <w:num w:numId="36">
    <w:abstractNumId w:val="17"/>
  </w:num>
  <w:num w:numId="37">
    <w:abstractNumId w:val="26"/>
  </w:num>
  <w:num w:numId="38">
    <w:abstractNumId w:val="28"/>
  </w:num>
  <w:num w:numId="39">
    <w:abstractNumId w:val="42"/>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94209"/>
  </w:hdrShapeDefaults>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4AB"/>
    <w:rsid w:val="00000559"/>
    <w:rsid w:val="00003B7F"/>
    <w:rsid w:val="0001185D"/>
    <w:rsid w:val="00017972"/>
    <w:rsid w:val="00017ADF"/>
    <w:rsid w:val="00020C39"/>
    <w:rsid w:val="00050F1F"/>
    <w:rsid w:val="0005501A"/>
    <w:rsid w:val="00056909"/>
    <w:rsid w:val="000600CC"/>
    <w:rsid w:val="000640DD"/>
    <w:rsid w:val="00066784"/>
    <w:rsid w:val="0007567D"/>
    <w:rsid w:val="00083DCE"/>
    <w:rsid w:val="00084C15"/>
    <w:rsid w:val="0008573B"/>
    <w:rsid w:val="000C381D"/>
    <w:rsid w:val="000D20DA"/>
    <w:rsid w:val="000D4D8A"/>
    <w:rsid w:val="000E3AB1"/>
    <w:rsid w:val="000E677D"/>
    <w:rsid w:val="000E79DF"/>
    <w:rsid w:val="000E7C8C"/>
    <w:rsid w:val="00112A02"/>
    <w:rsid w:val="00114AB7"/>
    <w:rsid w:val="00115A16"/>
    <w:rsid w:val="0012410A"/>
    <w:rsid w:val="00125337"/>
    <w:rsid w:val="00127950"/>
    <w:rsid w:val="00144B42"/>
    <w:rsid w:val="001505FC"/>
    <w:rsid w:val="00151AD5"/>
    <w:rsid w:val="001600EC"/>
    <w:rsid w:val="00172D39"/>
    <w:rsid w:val="00176CCB"/>
    <w:rsid w:val="001778D1"/>
    <w:rsid w:val="00180136"/>
    <w:rsid w:val="00192FDC"/>
    <w:rsid w:val="00195064"/>
    <w:rsid w:val="001A251C"/>
    <w:rsid w:val="001B0D99"/>
    <w:rsid w:val="001B7104"/>
    <w:rsid w:val="001D1BF0"/>
    <w:rsid w:val="001D36F3"/>
    <w:rsid w:val="001E0D63"/>
    <w:rsid w:val="001E4F16"/>
    <w:rsid w:val="001E67F9"/>
    <w:rsid w:val="002022F7"/>
    <w:rsid w:val="002034F0"/>
    <w:rsid w:val="00205A9C"/>
    <w:rsid w:val="00213F3F"/>
    <w:rsid w:val="00227CC0"/>
    <w:rsid w:val="0023318A"/>
    <w:rsid w:val="002453FC"/>
    <w:rsid w:val="0025550B"/>
    <w:rsid w:val="00262C71"/>
    <w:rsid w:val="0027312F"/>
    <w:rsid w:val="0027779D"/>
    <w:rsid w:val="002964AB"/>
    <w:rsid w:val="002A4D82"/>
    <w:rsid w:val="002A4E72"/>
    <w:rsid w:val="002D4B00"/>
    <w:rsid w:val="002E1A5C"/>
    <w:rsid w:val="002E3DEF"/>
    <w:rsid w:val="002F20D5"/>
    <w:rsid w:val="003076C7"/>
    <w:rsid w:val="00313D1A"/>
    <w:rsid w:val="00315172"/>
    <w:rsid w:val="00317112"/>
    <w:rsid w:val="00352C7E"/>
    <w:rsid w:val="003538F8"/>
    <w:rsid w:val="00365676"/>
    <w:rsid w:val="00372FEA"/>
    <w:rsid w:val="003837C3"/>
    <w:rsid w:val="003863B7"/>
    <w:rsid w:val="00394DE3"/>
    <w:rsid w:val="003B33B4"/>
    <w:rsid w:val="003B3CD5"/>
    <w:rsid w:val="003C6A07"/>
    <w:rsid w:val="003C7977"/>
    <w:rsid w:val="003D13DA"/>
    <w:rsid w:val="003D1AEC"/>
    <w:rsid w:val="003D2C59"/>
    <w:rsid w:val="003F0C3F"/>
    <w:rsid w:val="003F647F"/>
    <w:rsid w:val="00405A63"/>
    <w:rsid w:val="00415A1F"/>
    <w:rsid w:val="00430353"/>
    <w:rsid w:val="004308A6"/>
    <w:rsid w:val="00430AF3"/>
    <w:rsid w:val="004358BF"/>
    <w:rsid w:val="00442C56"/>
    <w:rsid w:val="0044770B"/>
    <w:rsid w:val="00447D1D"/>
    <w:rsid w:val="00463372"/>
    <w:rsid w:val="004736A3"/>
    <w:rsid w:val="004741D3"/>
    <w:rsid w:val="004776DF"/>
    <w:rsid w:val="00483C01"/>
    <w:rsid w:val="004A2CCD"/>
    <w:rsid w:val="004B3E75"/>
    <w:rsid w:val="004B770B"/>
    <w:rsid w:val="004C2187"/>
    <w:rsid w:val="004C3547"/>
    <w:rsid w:val="004D56E1"/>
    <w:rsid w:val="004D6C59"/>
    <w:rsid w:val="004F0317"/>
    <w:rsid w:val="004F2B7E"/>
    <w:rsid w:val="004F2EF7"/>
    <w:rsid w:val="00510720"/>
    <w:rsid w:val="005108BB"/>
    <w:rsid w:val="005166ED"/>
    <w:rsid w:val="0052037F"/>
    <w:rsid w:val="005237A8"/>
    <w:rsid w:val="0052648D"/>
    <w:rsid w:val="0054034F"/>
    <w:rsid w:val="005417F6"/>
    <w:rsid w:val="00547989"/>
    <w:rsid w:val="00555B7B"/>
    <w:rsid w:val="00556A67"/>
    <w:rsid w:val="0058007E"/>
    <w:rsid w:val="00580346"/>
    <w:rsid w:val="00581B5E"/>
    <w:rsid w:val="00584431"/>
    <w:rsid w:val="00587054"/>
    <w:rsid w:val="00590495"/>
    <w:rsid w:val="005965E4"/>
    <w:rsid w:val="00597F05"/>
    <w:rsid w:val="005A2687"/>
    <w:rsid w:val="005A35D3"/>
    <w:rsid w:val="005C0174"/>
    <w:rsid w:val="005C3F1D"/>
    <w:rsid w:val="005C6D1B"/>
    <w:rsid w:val="005D5234"/>
    <w:rsid w:val="005D627F"/>
    <w:rsid w:val="005F3FE3"/>
    <w:rsid w:val="005F7084"/>
    <w:rsid w:val="0060322E"/>
    <w:rsid w:val="006127E8"/>
    <w:rsid w:val="006137C0"/>
    <w:rsid w:val="00621782"/>
    <w:rsid w:val="00625C33"/>
    <w:rsid w:val="00632C7A"/>
    <w:rsid w:val="00634F4E"/>
    <w:rsid w:val="00644C4D"/>
    <w:rsid w:val="0065490F"/>
    <w:rsid w:val="006600BE"/>
    <w:rsid w:val="00667F23"/>
    <w:rsid w:val="00671E64"/>
    <w:rsid w:val="00672738"/>
    <w:rsid w:val="00674F76"/>
    <w:rsid w:val="00676AD3"/>
    <w:rsid w:val="00686AEB"/>
    <w:rsid w:val="00691838"/>
    <w:rsid w:val="006940CE"/>
    <w:rsid w:val="006962D6"/>
    <w:rsid w:val="006A1539"/>
    <w:rsid w:val="006A159F"/>
    <w:rsid w:val="006A2EDE"/>
    <w:rsid w:val="006B0EA0"/>
    <w:rsid w:val="006B11A4"/>
    <w:rsid w:val="006B2C9A"/>
    <w:rsid w:val="006C5673"/>
    <w:rsid w:val="006C5DA2"/>
    <w:rsid w:val="006D414F"/>
    <w:rsid w:val="006E303D"/>
    <w:rsid w:val="006E4F1D"/>
    <w:rsid w:val="006E6687"/>
    <w:rsid w:val="006F103E"/>
    <w:rsid w:val="006F4659"/>
    <w:rsid w:val="006F62F3"/>
    <w:rsid w:val="00700F1A"/>
    <w:rsid w:val="00704C43"/>
    <w:rsid w:val="00707247"/>
    <w:rsid w:val="0070792E"/>
    <w:rsid w:val="00710B84"/>
    <w:rsid w:val="00711D92"/>
    <w:rsid w:val="00713F21"/>
    <w:rsid w:val="0071543F"/>
    <w:rsid w:val="00716D5C"/>
    <w:rsid w:val="00717E40"/>
    <w:rsid w:val="007207F7"/>
    <w:rsid w:val="00722156"/>
    <w:rsid w:val="00733585"/>
    <w:rsid w:val="00735B2B"/>
    <w:rsid w:val="007372D6"/>
    <w:rsid w:val="00741A6B"/>
    <w:rsid w:val="0075000F"/>
    <w:rsid w:val="0075687B"/>
    <w:rsid w:val="00775505"/>
    <w:rsid w:val="00787FE1"/>
    <w:rsid w:val="00793257"/>
    <w:rsid w:val="007961EA"/>
    <w:rsid w:val="007A2699"/>
    <w:rsid w:val="007A57BF"/>
    <w:rsid w:val="007B0769"/>
    <w:rsid w:val="007B5B66"/>
    <w:rsid w:val="007B62E4"/>
    <w:rsid w:val="007C5769"/>
    <w:rsid w:val="007C5EE2"/>
    <w:rsid w:val="007C6D5C"/>
    <w:rsid w:val="007D5ABC"/>
    <w:rsid w:val="007D724F"/>
    <w:rsid w:val="007F125A"/>
    <w:rsid w:val="0080690F"/>
    <w:rsid w:val="008075CE"/>
    <w:rsid w:val="00816381"/>
    <w:rsid w:val="00820FBD"/>
    <w:rsid w:val="00823B87"/>
    <w:rsid w:val="0083057C"/>
    <w:rsid w:val="00833FD8"/>
    <w:rsid w:val="00836F92"/>
    <w:rsid w:val="008421E6"/>
    <w:rsid w:val="00846D33"/>
    <w:rsid w:val="00852059"/>
    <w:rsid w:val="0085699C"/>
    <w:rsid w:val="00856A51"/>
    <w:rsid w:val="008802FF"/>
    <w:rsid w:val="00880D58"/>
    <w:rsid w:val="008844A1"/>
    <w:rsid w:val="008853F6"/>
    <w:rsid w:val="00885C52"/>
    <w:rsid w:val="00885D53"/>
    <w:rsid w:val="00887B36"/>
    <w:rsid w:val="00890B62"/>
    <w:rsid w:val="008B5743"/>
    <w:rsid w:val="008C1D29"/>
    <w:rsid w:val="008D5BF2"/>
    <w:rsid w:val="008D779E"/>
    <w:rsid w:val="008E03C4"/>
    <w:rsid w:val="008E6D92"/>
    <w:rsid w:val="008E75F5"/>
    <w:rsid w:val="0090093E"/>
    <w:rsid w:val="009036C1"/>
    <w:rsid w:val="00904A67"/>
    <w:rsid w:val="009323F5"/>
    <w:rsid w:val="0093746D"/>
    <w:rsid w:val="00940CC1"/>
    <w:rsid w:val="00946E79"/>
    <w:rsid w:val="009515B1"/>
    <w:rsid w:val="009571F1"/>
    <w:rsid w:val="00961FD8"/>
    <w:rsid w:val="0096368D"/>
    <w:rsid w:val="00964AFD"/>
    <w:rsid w:val="0097088C"/>
    <w:rsid w:val="009836F7"/>
    <w:rsid w:val="00991CB6"/>
    <w:rsid w:val="009A08FF"/>
    <w:rsid w:val="009A4AC7"/>
    <w:rsid w:val="009A792F"/>
    <w:rsid w:val="009B0201"/>
    <w:rsid w:val="009D2F9A"/>
    <w:rsid w:val="009E4FE2"/>
    <w:rsid w:val="009F2281"/>
    <w:rsid w:val="00A00DF2"/>
    <w:rsid w:val="00A15787"/>
    <w:rsid w:val="00A331C4"/>
    <w:rsid w:val="00A405EB"/>
    <w:rsid w:val="00A5100D"/>
    <w:rsid w:val="00A71CA7"/>
    <w:rsid w:val="00A732B7"/>
    <w:rsid w:val="00A74308"/>
    <w:rsid w:val="00A85940"/>
    <w:rsid w:val="00A90979"/>
    <w:rsid w:val="00A94CD0"/>
    <w:rsid w:val="00AB115C"/>
    <w:rsid w:val="00AB166C"/>
    <w:rsid w:val="00AB4A90"/>
    <w:rsid w:val="00AB4FC7"/>
    <w:rsid w:val="00AC4521"/>
    <w:rsid w:val="00AD33D6"/>
    <w:rsid w:val="00AD402A"/>
    <w:rsid w:val="00AD5A11"/>
    <w:rsid w:val="00AF6260"/>
    <w:rsid w:val="00B013BE"/>
    <w:rsid w:val="00B064F7"/>
    <w:rsid w:val="00B10C5D"/>
    <w:rsid w:val="00B17BF4"/>
    <w:rsid w:val="00B243BD"/>
    <w:rsid w:val="00B3709F"/>
    <w:rsid w:val="00B3758D"/>
    <w:rsid w:val="00B4694F"/>
    <w:rsid w:val="00B50A85"/>
    <w:rsid w:val="00B91D23"/>
    <w:rsid w:val="00BA1DD0"/>
    <w:rsid w:val="00BA4BF0"/>
    <w:rsid w:val="00BB084A"/>
    <w:rsid w:val="00BB16E4"/>
    <w:rsid w:val="00BC3BBD"/>
    <w:rsid w:val="00BC3BF5"/>
    <w:rsid w:val="00BC64C6"/>
    <w:rsid w:val="00BD33EE"/>
    <w:rsid w:val="00BD35F4"/>
    <w:rsid w:val="00BD6BFB"/>
    <w:rsid w:val="00BE0D2E"/>
    <w:rsid w:val="00BE4654"/>
    <w:rsid w:val="00BE53CC"/>
    <w:rsid w:val="00BE599F"/>
    <w:rsid w:val="00C14431"/>
    <w:rsid w:val="00C17831"/>
    <w:rsid w:val="00C21579"/>
    <w:rsid w:val="00C237A3"/>
    <w:rsid w:val="00C2558A"/>
    <w:rsid w:val="00C267F6"/>
    <w:rsid w:val="00C34BAE"/>
    <w:rsid w:val="00C35C6B"/>
    <w:rsid w:val="00C42C8D"/>
    <w:rsid w:val="00C43FE6"/>
    <w:rsid w:val="00C44D09"/>
    <w:rsid w:val="00C474CA"/>
    <w:rsid w:val="00C47BC2"/>
    <w:rsid w:val="00C608A7"/>
    <w:rsid w:val="00C66391"/>
    <w:rsid w:val="00C67149"/>
    <w:rsid w:val="00C67A34"/>
    <w:rsid w:val="00C928E5"/>
    <w:rsid w:val="00C94125"/>
    <w:rsid w:val="00C94A36"/>
    <w:rsid w:val="00C959EA"/>
    <w:rsid w:val="00CA077E"/>
    <w:rsid w:val="00CA2893"/>
    <w:rsid w:val="00CA5F9F"/>
    <w:rsid w:val="00CA769F"/>
    <w:rsid w:val="00CB2AB7"/>
    <w:rsid w:val="00CC46F0"/>
    <w:rsid w:val="00CC55A7"/>
    <w:rsid w:val="00CC670D"/>
    <w:rsid w:val="00CC79C4"/>
    <w:rsid w:val="00CD3CC5"/>
    <w:rsid w:val="00CD6F70"/>
    <w:rsid w:val="00CE341F"/>
    <w:rsid w:val="00CF38F5"/>
    <w:rsid w:val="00CF6B4B"/>
    <w:rsid w:val="00CF7062"/>
    <w:rsid w:val="00D05FC9"/>
    <w:rsid w:val="00D22F0D"/>
    <w:rsid w:val="00D2310D"/>
    <w:rsid w:val="00D432BC"/>
    <w:rsid w:val="00D50CA0"/>
    <w:rsid w:val="00D63E01"/>
    <w:rsid w:val="00D6480D"/>
    <w:rsid w:val="00D7223A"/>
    <w:rsid w:val="00D855D0"/>
    <w:rsid w:val="00DA2A57"/>
    <w:rsid w:val="00DA3AB7"/>
    <w:rsid w:val="00DB6BFE"/>
    <w:rsid w:val="00DC193D"/>
    <w:rsid w:val="00DD6085"/>
    <w:rsid w:val="00DE24BC"/>
    <w:rsid w:val="00DE6F11"/>
    <w:rsid w:val="00DE78FC"/>
    <w:rsid w:val="00DF6C48"/>
    <w:rsid w:val="00E12504"/>
    <w:rsid w:val="00E44BB3"/>
    <w:rsid w:val="00E8533C"/>
    <w:rsid w:val="00E8585A"/>
    <w:rsid w:val="00E912EB"/>
    <w:rsid w:val="00E97153"/>
    <w:rsid w:val="00E972A4"/>
    <w:rsid w:val="00E97E19"/>
    <w:rsid w:val="00E97F8B"/>
    <w:rsid w:val="00EA240E"/>
    <w:rsid w:val="00EB5EA5"/>
    <w:rsid w:val="00EC32B3"/>
    <w:rsid w:val="00ED0EF9"/>
    <w:rsid w:val="00EE0F7B"/>
    <w:rsid w:val="00EE4ABB"/>
    <w:rsid w:val="00EF0B80"/>
    <w:rsid w:val="00EF2EFC"/>
    <w:rsid w:val="00F00259"/>
    <w:rsid w:val="00F0361C"/>
    <w:rsid w:val="00F0569D"/>
    <w:rsid w:val="00F108A1"/>
    <w:rsid w:val="00F46832"/>
    <w:rsid w:val="00F5227D"/>
    <w:rsid w:val="00F557E4"/>
    <w:rsid w:val="00F566E9"/>
    <w:rsid w:val="00F61096"/>
    <w:rsid w:val="00F62069"/>
    <w:rsid w:val="00F640E9"/>
    <w:rsid w:val="00F979A7"/>
    <w:rsid w:val="00FB2211"/>
    <w:rsid w:val="00FD7E42"/>
    <w:rsid w:val="00FE2415"/>
    <w:rsid w:val="00FE56D6"/>
    <w:rsid w:val="00FF0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4209"/>
    <o:shapelayout v:ext="edit">
      <o:idmap v:ext="edit" data="1"/>
    </o:shapelayout>
  </w:shapeDefaults>
  <w:decimalSymbol w:val="."/>
  <w:listSeparator w:val=","/>
  <w14:docId w14:val="0D05CE4A"/>
  <w14:defaultImageDpi w14:val="96"/>
  <w15:docId w15:val="{839BC97E-D939-4017-9494-CC699AE48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TOC1">
    <w:name w:val="toc 1"/>
    <w:basedOn w:val="Normal"/>
    <w:next w:val="Normal"/>
    <w:uiPriority w:val="39"/>
    <w:rsid w:val="00205A9C"/>
    <w:pPr>
      <w:ind w:left="720" w:hanging="720"/>
    </w:pPr>
    <w:rPr>
      <w:rFonts w:ascii="Arial" w:hAnsi="Arial"/>
    </w:rPr>
  </w:style>
  <w:style w:type="character" w:customStyle="1" w:styleId="Hypertext">
    <w:name w:val="Hypertext"/>
    <w:uiPriority w:val="99"/>
    <w:rPr>
      <w:color w:val="0000FF"/>
      <w:u w:val="single"/>
    </w:rPr>
  </w:style>
  <w:style w:type="paragraph" w:styleId="TOC2">
    <w:name w:val="toc 2"/>
    <w:basedOn w:val="Normal"/>
    <w:next w:val="Normal"/>
    <w:uiPriority w:val="39"/>
    <w:rsid w:val="00205A9C"/>
    <w:pPr>
      <w:widowControl/>
      <w:ind w:left="1440" w:hanging="720"/>
    </w:pPr>
    <w:rPr>
      <w:rFonts w:ascii="Arial" w:hAnsi="Arial"/>
    </w:rPr>
  </w:style>
  <w:style w:type="paragraph" w:styleId="TOC3">
    <w:name w:val="toc 3"/>
    <w:basedOn w:val="Normal"/>
    <w:next w:val="Normal"/>
    <w:uiPriority w:val="39"/>
    <w:rsid w:val="00205A9C"/>
    <w:pPr>
      <w:widowControl/>
      <w:ind w:left="2160" w:hanging="720"/>
    </w:pPr>
    <w:rPr>
      <w:rFonts w:ascii="Arial" w:hAnsi="Arial"/>
    </w:rPr>
  </w:style>
  <w:style w:type="paragraph" w:styleId="TOC4">
    <w:name w:val="toc 4"/>
    <w:basedOn w:val="Normal"/>
    <w:next w:val="Normal"/>
    <w:uiPriority w:val="39"/>
    <w:rsid w:val="00205A9C"/>
    <w:pPr>
      <w:widowControl/>
      <w:ind w:left="2880" w:hanging="720"/>
    </w:pPr>
    <w:rPr>
      <w:rFonts w:ascii="Arial" w:hAnsi="Arial"/>
    </w:rPr>
  </w:style>
  <w:style w:type="paragraph" w:styleId="TOC5">
    <w:name w:val="toc 5"/>
    <w:basedOn w:val="Normal"/>
    <w:next w:val="Normal"/>
    <w:uiPriority w:val="39"/>
    <w:rsid w:val="00205A9C"/>
    <w:pPr>
      <w:widowControl/>
      <w:ind w:left="3600" w:hanging="720"/>
      <w:outlineLvl w:val="4"/>
    </w:pPr>
    <w:rPr>
      <w:rFonts w:ascii="Arial" w:hAnsi="Arial"/>
    </w:rPr>
  </w:style>
  <w:style w:type="paragraph" w:customStyle="1" w:styleId="ListParagra">
    <w:name w:val="List Paragra"/>
    <w:basedOn w:val="Normal"/>
    <w:uiPriority w:val="99"/>
    <w:pPr>
      <w:tabs>
        <w:tab w:val="left" w:pos="0"/>
        <w:tab w:val="left" w:pos="620"/>
        <w:tab w:val="left" w:pos="1340"/>
        <w:tab w:val="left" w:pos="2060"/>
        <w:tab w:val="left" w:pos="2780"/>
        <w:tab w:val="left" w:pos="3500"/>
        <w:tab w:val="left" w:pos="4220"/>
        <w:tab w:val="left" w:pos="4940"/>
        <w:tab w:val="left" w:pos="5660"/>
        <w:tab w:val="left" w:pos="6380"/>
        <w:tab w:val="left" w:pos="7100"/>
      </w:tabs>
      <w:ind w:left="1539" w:hanging="720"/>
      <w:jc w:val="both"/>
    </w:pPr>
    <w:rPr>
      <w:rFonts w:ascii="Arial" w:hAnsi="Arial" w:cs="Arial"/>
    </w:rPr>
  </w:style>
  <w:style w:type="paragraph" w:styleId="BodyText">
    <w:name w:val="Body Text"/>
    <w:basedOn w:val="Normal"/>
    <w:link w:val="BodyTextChar"/>
    <w:uiPriority w:val="99"/>
    <w:rPr>
      <w:rFonts w:ascii="Arial" w:hAnsi="Arial" w:cs="Arial"/>
    </w:rPr>
  </w:style>
  <w:style w:type="character" w:customStyle="1" w:styleId="BodyTextChar">
    <w:name w:val="Body Text Char"/>
    <w:basedOn w:val="DefaultParagraphFont"/>
    <w:link w:val="BodyText"/>
    <w:uiPriority w:val="99"/>
    <w:semiHidden/>
    <w:rsid w:val="002964AB"/>
    <w:rPr>
      <w:rFonts w:ascii="Times New Roman" w:hAnsi="Times New Roman" w:cs="Times New Roman"/>
      <w:sz w:val="24"/>
      <w:szCs w:val="24"/>
    </w:rPr>
  </w:style>
  <w:style w:type="paragraph" w:customStyle="1" w:styleId="Level1">
    <w:name w:val="Level 1"/>
    <w:basedOn w:val="Normal"/>
    <w:uiPriority w:val="99"/>
    <w:pPr>
      <w:ind w:left="2166" w:hanging="720"/>
    </w:pPr>
  </w:style>
  <w:style w:type="paragraph" w:styleId="BalloonText">
    <w:name w:val="Balloon Text"/>
    <w:basedOn w:val="Normal"/>
    <w:link w:val="BalloonTextChar"/>
    <w:uiPriority w:val="99"/>
    <w:semiHidden/>
    <w:unhideWhenUsed/>
    <w:rsid w:val="000569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6909"/>
    <w:rPr>
      <w:rFonts w:ascii="Segoe UI" w:hAnsi="Segoe UI" w:cs="Segoe UI"/>
      <w:sz w:val="18"/>
      <w:szCs w:val="18"/>
    </w:rPr>
  </w:style>
  <w:style w:type="character" w:styleId="Hyperlink">
    <w:name w:val="Hyperlink"/>
    <w:basedOn w:val="DefaultParagraphFont"/>
    <w:uiPriority w:val="99"/>
    <w:unhideWhenUsed/>
    <w:rsid w:val="00C959EA"/>
    <w:rPr>
      <w:color w:val="0563C1" w:themeColor="hyperlink"/>
      <w:u w:val="single"/>
    </w:rPr>
  </w:style>
  <w:style w:type="character" w:styleId="UnresolvedMention">
    <w:name w:val="Unresolved Mention"/>
    <w:basedOn w:val="DefaultParagraphFont"/>
    <w:uiPriority w:val="99"/>
    <w:semiHidden/>
    <w:unhideWhenUsed/>
    <w:rsid w:val="00C959EA"/>
    <w:rPr>
      <w:color w:val="605E5C"/>
      <w:shd w:val="clear" w:color="auto" w:fill="E1DFDD"/>
    </w:rPr>
  </w:style>
  <w:style w:type="paragraph" w:styleId="TOC6">
    <w:name w:val="toc 6"/>
    <w:basedOn w:val="Normal"/>
    <w:next w:val="Normal"/>
    <w:autoRedefine/>
    <w:uiPriority w:val="39"/>
    <w:unhideWhenUsed/>
    <w:rsid w:val="00205A9C"/>
    <w:pPr>
      <w:widowControl/>
      <w:autoSpaceDE/>
      <w:autoSpaceDN/>
      <w:adjustRightInd/>
      <w:ind w:left="3600"/>
      <w:outlineLvl w:val="5"/>
    </w:pPr>
    <w:rPr>
      <w:rFonts w:ascii="Arial" w:hAnsi="Arial"/>
      <w:szCs w:val="22"/>
    </w:rPr>
  </w:style>
  <w:style w:type="paragraph" w:styleId="TOC7">
    <w:name w:val="toc 7"/>
    <w:basedOn w:val="Normal"/>
    <w:next w:val="Normal"/>
    <w:autoRedefine/>
    <w:uiPriority w:val="39"/>
    <w:unhideWhenUsed/>
    <w:rsid w:val="00836F92"/>
    <w:pPr>
      <w:widowControl/>
      <w:autoSpaceDE/>
      <w:autoSpaceDN/>
      <w:adjustRightInd/>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836F92"/>
    <w:pPr>
      <w:widowControl/>
      <w:autoSpaceDE/>
      <w:autoSpaceDN/>
      <w:adjustRightInd/>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836F92"/>
    <w:pPr>
      <w:widowControl/>
      <w:autoSpaceDE/>
      <w:autoSpaceDN/>
      <w:adjustRightInd/>
      <w:spacing w:after="100" w:line="259" w:lineRule="auto"/>
      <w:ind w:left="1760"/>
    </w:pPr>
    <w:rPr>
      <w:rFonts w:ascii="Calibri" w:hAnsi="Calibri"/>
      <w:sz w:val="22"/>
      <w:szCs w:val="22"/>
    </w:rPr>
  </w:style>
  <w:style w:type="paragraph" w:styleId="Header">
    <w:name w:val="header"/>
    <w:basedOn w:val="Normal"/>
    <w:link w:val="HeaderChar"/>
    <w:uiPriority w:val="99"/>
    <w:unhideWhenUsed/>
    <w:rsid w:val="00F0361C"/>
    <w:pPr>
      <w:tabs>
        <w:tab w:val="center" w:pos="4680"/>
        <w:tab w:val="right" w:pos="9360"/>
      </w:tabs>
    </w:pPr>
  </w:style>
  <w:style w:type="character" w:customStyle="1" w:styleId="HeaderChar">
    <w:name w:val="Header Char"/>
    <w:basedOn w:val="DefaultParagraphFont"/>
    <w:link w:val="Header"/>
    <w:uiPriority w:val="99"/>
    <w:rsid w:val="00F0361C"/>
    <w:rPr>
      <w:rFonts w:ascii="Times New Roman" w:hAnsi="Times New Roman" w:cs="Times New Roman"/>
      <w:sz w:val="24"/>
      <w:szCs w:val="24"/>
    </w:rPr>
  </w:style>
  <w:style w:type="paragraph" w:styleId="Footer">
    <w:name w:val="footer"/>
    <w:basedOn w:val="Normal"/>
    <w:link w:val="FooterChar"/>
    <w:uiPriority w:val="99"/>
    <w:unhideWhenUsed/>
    <w:rsid w:val="00F0361C"/>
    <w:pPr>
      <w:tabs>
        <w:tab w:val="center" w:pos="4680"/>
        <w:tab w:val="right" w:pos="9360"/>
      </w:tabs>
    </w:pPr>
  </w:style>
  <w:style w:type="character" w:customStyle="1" w:styleId="FooterChar">
    <w:name w:val="Footer Char"/>
    <w:basedOn w:val="DefaultParagraphFont"/>
    <w:link w:val="Footer"/>
    <w:uiPriority w:val="99"/>
    <w:rsid w:val="00F0361C"/>
    <w:rPr>
      <w:rFonts w:ascii="Times New Roman" w:hAnsi="Times New Roman" w:cs="Times New Roman"/>
      <w:sz w:val="24"/>
      <w:szCs w:val="24"/>
    </w:rPr>
  </w:style>
  <w:style w:type="paragraph" w:styleId="ListParagraph">
    <w:name w:val="List Paragraph"/>
    <w:basedOn w:val="Normal"/>
    <w:uiPriority w:val="34"/>
    <w:qFormat/>
    <w:rsid w:val="008C1D29"/>
    <w:pPr>
      <w:ind w:left="720"/>
      <w:contextualSpacing/>
    </w:pPr>
  </w:style>
  <w:style w:type="character" w:styleId="CommentReference">
    <w:name w:val="annotation reference"/>
    <w:basedOn w:val="DefaultParagraphFont"/>
    <w:uiPriority w:val="99"/>
    <w:semiHidden/>
    <w:unhideWhenUsed/>
    <w:rsid w:val="007F125A"/>
    <w:rPr>
      <w:sz w:val="16"/>
      <w:szCs w:val="16"/>
    </w:rPr>
  </w:style>
  <w:style w:type="paragraph" w:styleId="CommentText">
    <w:name w:val="annotation text"/>
    <w:basedOn w:val="Normal"/>
    <w:link w:val="CommentTextChar"/>
    <w:uiPriority w:val="99"/>
    <w:semiHidden/>
    <w:unhideWhenUsed/>
    <w:rsid w:val="007F125A"/>
    <w:rPr>
      <w:sz w:val="20"/>
      <w:szCs w:val="20"/>
    </w:rPr>
  </w:style>
  <w:style w:type="character" w:customStyle="1" w:styleId="CommentTextChar">
    <w:name w:val="Comment Text Char"/>
    <w:basedOn w:val="DefaultParagraphFont"/>
    <w:link w:val="CommentText"/>
    <w:uiPriority w:val="99"/>
    <w:semiHidden/>
    <w:rsid w:val="007F125A"/>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F125A"/>
    <w:rPr>
      <w:b/>
      <w:bCs/>
    </w:rPr>
  </w:style>
  <w:style w:type="character" w:customStyle="1" w:styleId="CommentSubjectChar">
    <w:name w:val="Comment Subject Char"/>
    <w:basedOn w:val="CommentTextChar"/>
    <w:link w:val="CommentSubject"/>
    <w:uiPriority w:val="99"/>
    <w:semiHidden/>
    <w:rsid w:val="007F125A"/>
    <w:rPr>
      <w:rFonts w:ascii="Times New Roman" w:hAnsi="Times New Roman" w:cs="Times New Roman"/>
      <w:b/>
      <w:bCs/>
      <w:sz w:val="20"/>
      <w:szCs w:val="20"/>
    </w:rPr>
  </w:style>
  <w:style w:type="paragraph" w:styleId="Revision">
    <w:name w:val="Revision"/>
    <w:hidden/>
    <w:uiPriority w:val="99"/>
    <w:semiHidden/>
    <w:rsid w:val="006E4F1D"/>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www.ned.uscourts.gov/internetDocs/localrules/NEGenR.2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8530C-07E0-46B2-9A4E-7597A1D01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6</Pages>
  <Words>1592</Words>
  <Characters>8052</Characters>
  <Application>Microsoft Office Word</Application>
  <DocSecurity>0</DocSecurity>
  <Lines>259</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Boesen</dc:creator>
  <cp:keywords/>
  <dc:description/>
  <cp:lastModifiedBy>Jacqueline Boesen</cp:lastModifiedBy>
  <cp:revision>15</cp:revision>
  <cp:lastPrinted>2020-04-09T16:02:00Z</cp:lastPrinted>
  <dcterms:created xsi:type="dcterms:W3CDTF">2020-11-17T15:53:00Z</dcterms:created>
  <dcterms:modified xsi:type="dcterms:W3CDTF">2020-11-20T18:24:00Z</dcterms:modified>
</cp:coreProperties>
</file>